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4D" w:rsidRPr="0025536E" w:rsidRDefault="0025536E" w:rsidP="00255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6E">
        <w:rPr>
          <w:rFonts w:ascii="Times New Roman" w:hAnsi="Times New Roman" w:cs="Times New Roman"/>
          <w:b/>
          <w:sz w:val="28"/>
          <w:szCs w:val="28"/>
        </w:rPr>
        <w:t>Sylwetki naukowe i profile seminarium</w:t>
      </w:r>
    </w:p>
    <w:p w:rsidR="0025536E" w:rsidRPr="0025536E" w:rsidRDefault="0025536E" w:rsidP="00255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6E">
        <w:rPr>
          <w:rFonts w:ascii="Times New Roman" w:hAnsi="Times New Roman" w:cs="Times New Roman"/>
          <w:b/>
          <w:sz w:val="28"/>
          <w:szCs w:val="28"/>
        </w:rPr>
        <w:t>Studia Bezpieczeństwo Wewnętrzne II stopnia – zaoczne</w:t>
      </w:r>
    </w:p>
    <w:p w:rsidR="00734E5B" w:rsidRPr="00734E5B" w:rsidRDefault="00734E5B">
      <w:pPr>
        <w:rPr>
          <w:rFonts w:ascii="Times New Roman" w:hAnsi="Times New Roman" w:cs="Times New Roman"/>
          <w:sz w:val="28"/>
          <w:szCs w:val="28"/>
        </w:rPr>
      </w:pPr>
      <w:r w:rsidRPr="00734E5B">
        <w:rPr>
          <w:rFonts w:ascii="Times New Roman" w:hAnsi="Times New Roman" w:cs="Times New Roman"/>
          <w:sz w:val="28"/>
          <w:szCs w:val="28"/>
        </w:rPr>
        <w:t>Lista promotorów prowadzących proseminaria w cyklu akademickim 2021/2022</w:t>
      </w:r>
    </w:p>
    <w:p w:rsidR="00734E5B" w:rsidRPr="00734E5B" w:rsidRDefault="00734E5B" w:rsidP="00734E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E5B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734E5B">
        <w:rPr>
          <w:rFonts w:ascii="Times New Roman" w:hAnsi="Times New Roman" w:cs="Times New Roman"/>
          <w:sz w:val="28"/>
          <w:szCs w:val="28"/>
        </w:rPr>
        <w:t xml:space="preserve"> dr hab. </w:t>
      </w:r>
      <w:proofErr w:type="spellStart"/>
      <w:r>
        <w:rPr>
          <w:rFonts w:ascii="Times New Roman" w:hAnsi="Times New Roman" w:cs="Times New Roman"/>
          <w:sz w:val="28"/>
          <w:szCs w:val="28"/>
        </w:rPr>
        <w:t>Grzegorz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Gudzbeler</w:t>
      </w:r>
      <w:proofErr w:type="spellEnd"/>
    </w:p>
    <w:p w:rsidR="00734E5B" w:rsidRPr="00734E5B" w:rsidRDefault="00734E5B" w:rsidP="00734E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4E5B">
        <w:rPr>
          <w:rFonts w:ascii="Times New Roman" w:hAnsi="Times New Roman" w:cs="Times New Roman"/>
          <w:sz w:val="28"/>
          <w:szCs w:val="28"/>
        </w:rPr>
        <w:t xml:space="preserve">Doc. Dr Marek Nadolski </w:t>
      </w:r>
    </w:p>
    <w:p w:rsidR="00734E5B" w:rsidRPr="00734E5B" w:rsidRDefault="00734E5B" w:rsidP="00734E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34E5B">
        <w:rPr>
          <w:rFonts w:ascii="Times New Roman" w:hAnsi="Times New Roman" w:cs="Times New Roman"/>
          <w:sz w:val="28"/>
          <w:szCs w:val="28"/>
        </w:rPr>
        <w:t xml:space="preserve">Dr hab. Daniel </w:t>
      </w:r>
      <w:proofErr w:type="spellStart"/>
      <w:r w:rsidRPr="00734E5B">
        <w:rPr>
          <w:rFonts w:ascii="Times New Roman" w:hAnsi="Times New Roman" w:cs="Times New Roman"/>
          <w:sz w:val="28"/>
          <w:szCs w:val="28"/>
        </w:rPr>
        <w:t>Mider</w:t>
      </w:r>
      <w:proofErr w:type="spellEnd"/>
    </w:p>
    <w:p w:rsidR="00734E5B" w:rsidRDefault="00734E5B" w:rsidP="00734E5B">
      <w:pPr>
        <w:pStyle w:val="Akapitzlist"/>
        <w:numPr>
          <w:ilvl w:val="0"/>
          <w:numId w:val="9"/>
        </w:numPr>
      </w:pPr>
      <w:r w:rsidRPr="00734E5B">
        <w:rPr>
          <w:rFonts w:ascii="Times New Roman" w:hAnsi="Times New Roman" w:cs="Times New Roman"/>
          <w:sz w:val="28"/>
          <w:szCs w:val="28"/>
        </w:rPr>
        <w:t>Dr hab.</w:t>
      </w:r>
      <w:r>
        <w:rPr>
          <w:rFonts w:ascii="Times New Roman" w:hAnsi="Times New Roman" w:cs="Times New Roman"/>
          <w:sz w:val="28"/>
          <w:szCs w:val="28"/>
        </w:rPr>
        <w:t xml:space="preserve"> Sebastian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34E5B">
        <w:rPr>
          <w:rFonts w:ascii="Times New Roman" w:hAnsi="Times New Roman" w:cs="Times New Roman"/>
          <w:sz w:val="28"/>
          <w:szCs w:val="28"/>
        </w:rPr>
        <w:t>ozłowski</w:t>
      </w:r>
      <w:proofErr w:type="spellEnd"/>
      <w:r>
        <w:t xml:space="preserve"> </w:t>
      </w:r>
      <w:r>
        <w:br w:type="page"/>
      </w:r>
    </w:p>
    <w:p w:rsidR="0025536E" w:rsidRDefault="0025536E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417"/>
        <w:gridCol w:w="2106"/>
        <w:gridCol w:w="5943"/>
        <w:gridCol w:w="1746"/>
        <w:gridCol w:w="2782"/>
      </w:tblGrid>
      <w:tr w:rsidR="0025536E" w:rsidRPr="00982DEB" w:rsidTr="0025536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2D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Promotor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2D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Sylwetka naukowa, zainteresowania badawcze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2D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Najważniejsze publikacje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2D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seminarium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>Wykaz problematyki, której dotyczyłyby prace dyplomowe</w:t>
            </w:r>
          </w:p>
        </w:tc>
      </w:tr>
      <w:tr w:rsidR="0025536E" w:rsidRPr="00982DEB" w:rsidTr="0025536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Dr hab. Daniel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>Mider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6E" w:rsidRPr="00982DEB" w:rsidRDefault="0025536E" w:rsidP="00AB5F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 w:eastAsia="pl-PL"/>
              </w:rPr>
            </w:pPr>
            <w:r w:rsidRPr="00982DEB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Daniel </w:t>
            </w:r>
            <w:proofErr w:type="spellStart"/>
            <w:r w:rsidRPr="00982DEB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Mider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(ur. 1976), absolwent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Instytutu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Nauk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Politycznych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UW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(2003,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studia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ukończone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z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wyróżnieniem),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doktor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nauk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humanistycznych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w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zakresie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nauk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o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polityce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(2008,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eastAsia="Arial" w:hAnsi="Times New Roman" w:cs="Times New Roman"/>
                <w:i/>
                <w:iCs/>
                <w:color w:val="000000" w:themeColor="text1"/>
                <w:lang w:val="pl-PL"/>
              </w:rPr>
              <w:t xml:space="preserve">summa cum </w:t>
            </w:r>
            <w:proofErr w:type="spellStart"/>
            <w:r w:rsidRPr="00982DEB">
              <w:rPr>
                <w:rFonts w:ascii="Times New Roman" w:eastAsia="Arial" w:hAnsi="Times New Roman" w:cs="Times New Roman"/>
                <w:i/>
                <w:iCs/>
                <w:color w:val="000000" w:themeColor="text1"/>
                <w:lang w:val="pl-PL"/>
              </w:rPr>
              <w:t>laude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), habilitacja na podstawie dzieła </w:t>
            </w:r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Polacy wobec przemocy politycznej. Studium typów postaw i ocen moralnych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(2018).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Jego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zainteresowania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badawcze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obejmują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socjologię przemocy, informatykę społeczną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,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>infobrokering</w:t>
            </w:r>
            <w:proofErr w:type="spellEnd"/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,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metodologię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badań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społecznych oraz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analizę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danych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ilościowych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i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jakościowych.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lastRenderedPageBreak/>
              <w:t>Prowadzi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zajęcia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z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przedmiotów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jak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socjologia,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socjologia konfliktu i przemocy,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analiza danych ilościowych i jakościowych,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metodologia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badań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politologicznych,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technologie informacyjne,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infobrokering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polityczny.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Egzaminator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Europejskiego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Certyfikatu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Umiejętności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Komputerowych,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certyfikowany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informatyk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śledczy.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Członek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Polskiego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Towarzystwa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Informatycznego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i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Polskiego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Towarzystwa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Socjologicznego.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Twórca i wykładowca specjalności </w:t>
            </w:r>
            <w:proofErr w:type="spellStart"/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>infobrokering</w:t>
            </w:r>
            <w:proofErr w:type="spellEnd"/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t xml:space="preserve"> polityczny (studia II stopnia) w WNPiSM Uniwersytetu Warszawskiego oraz pracowni badan </w:t>
            </w:r>
            <w:r w:rsidRPr="00982DEB">
              <w:rPr>
                <w:rFonts w:ascii="Times New Roman" w:eastAsia="Arial" w:hAnsi="Times New Roman" w:cs="Times New Roman"/>
                <w:color w:val="000000" w:themeColor="text1"/>
                <w:lang w:val="pl-PL"/>
              </w:rPr>
              <w:lastRenderedPageBreak/>
              <w:t xml:space="preserve">neurobiologicznych.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Autor licznych publikacji z zakresu socjologii Internetu, socjologii przemocy, metodologii badań oraz partycypacji politycznej. 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6E" w:rsidRPr="00982DEB" w:rsidRDefault="0025536E" w:rsidP="002553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</w:pP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lastRenderedPageBreak/>
              <w:t xml:space="preserve">D.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Mider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, </w:t>
            </w:r>
            <w:r w:rsidRPr="00982D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pl-PL" w:eastAsia="pl-PL"/>
              </w:rPr>
              <w:t xml:space="preserve">Polacy wobec przemocy politycznej. Studium typów postaw i ocen moralnych, </w:t>
            </w: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Dom Wydawniczy „Elipsa”, Warszawa 2017. 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</w:pP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D.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Mider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, </w:t>
            </w:r>
            <w:r w:rsidRPr="00982D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pl-PL" w:eastAsia="pl-PL"/>
              </w:rPr>
              <w:t>Partycypacja polityczna w Internecie. Studium politologiczne</w:t>
            </w: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, Dom Wydawniczy „Elipsa”, Warszawa 2008, ISBN:</w:t>
            </w:r>
            <w:r w:rsidRPr="00982DE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 xml:space="preserve"> 9788371518188,</w:t>
            </w: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 ss. 468. 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</w:pP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J.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Błuszkowski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, D.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Mider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, </w:t>
            </w:r>
            <w:r w:rsidRPr="00982D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pl-PL" w:eastAsia="pl-PL"/>
              </w:rPr>
              <w:t>Demokracja późnej nowoczesności</w:t>
            </w: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, Dom Wydawniczy „Elipsa”, Warszawa 2012, ISBN: </w:t>
            </w:r>
            <w:r w:rsidRPr="00982DE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>9788371510908,</w:t>
            </w: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 ss. 512.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pl-PL" w:eastAsia="pl-PL"/>
              </w:rPr>
            </w:pP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D.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Mider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, A. Marcinkowska, </w:t>
            </w:r>
            <w:r w:rsidRPr="00982D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pl-PL" w:eastAsia="pl-PL"/>
              </w:rPr>
              <w:t>Analiza danych ilościowych dla politologów. Praktyczne wprowadzenie z wykorzystaniem programu GNU PSPP</w:t>
            </w: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, ACAD, Warszawa 2013, ISBN: </w:t>
            </w:r>
            <w:r w:rsidRPr="00982DE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>9788362989133</w:t>
            </w: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>, ss. 427.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Mider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Cyberentuzjaści</w:t>
            </w:r>
            <w:proofErr w:type="spellEnd"/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cybermaruderzy</w:t>
            </w:r>
            <w:proofErr w:type="spellEnd"/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 czy </w:t>
            </w:r>
            <w:proofErr w:type="spellStart"/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cybermalkontenci</w:t>
            </w:r>
            <w:proofErr w:type="spellEnd"/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? Badanie postaw polskich internautów wobec zastosowań Internetu w polityce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„Studia Politologiczne”, 2012, t. 26, </w:t>
            </w:r>
            <w:r w:rsidRPr="00982DEB">
              <w:rPr>
                <w:rFonts w:ascii="Times New Roman" w:eastAsia="Times New Roman" w:hAnsi="Times New Roman" w:cs="Times New Roman"/>
                <w:bCs/>
                <w:color w:val="000000" w:themeColor="text1"/>
                <w:lang w:val="pl-PL" w:eastAsia="pl-PL"/>
              </w:rPr>
              <w:t xml:space="preserve">ISBN: </w:t>
            </w:r>
            <w:r w:rsidRPr="00982DE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 xml:space="preserve">9788371510984 / ISSN: 1640-8888,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s. 41-80. 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D.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en-US"/>
              </w:rPr>
              <w:t>Mider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The anatomy of violence: A study of the literature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en-US"/>
              </w:rPr>
              <w:t>, „Aggression and Violent  Behavior”, 2013, 18 (6), ISSN:</w:t>
            </w:r>
            <w:r w:rsidRPr="00982DE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1098-2337,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 702–708.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Mider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</w:t>
            </w:r>
            <w:r w:rsidRPr="00982DEB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Czarny i czerwony rynek w sieci The </w:t>
            </w:r>
            <w:proofErr w:type="spellStart"/>
            <w:r w:rsidRPr="00982DEB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Onion</w:t>
            </w:r>
            <w:proofErr w:type="spellEnd"/>
            <w:r w:rsidRPr="00982DEB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Router – analiza funkcjonowania </w:t>
            </w:r>
            <w:proofErr w:type="spellStart"/>
            <w:r w:rsidRPr="00982DEB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darkmarketów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„Przegląd Bezpieczeństwa Wewnętrznego”, 2019, 21 (11), s. 154-190. 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lastRenderedPageBreak/>
              <w:t xml:space="preserve">D.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Mider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(red. nauk.), </w:t>
            </w:r>
            <w:proofErr w:type="spellStart"/>
            <w:r w:rsidRPr="00982DEB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Infobrokering</w:t>
            </w:r>
            <w:proofErr w:type="spellEnd"/>
            <w:r w:rsidRPr="00982DEB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– sztuka pozyskiwania, analizy i ewaluacji informacji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, „Studia Politologiczne”, tom 54, Wydawnictwo „Elipsa”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Mider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</w:t>
            </w:r>
            <w:r w:rsidRPr="00982DEB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Sztuka wyszukiwania w Internecie – autorski przegląd wybranych technik i narzędzi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„Studia Politologiczne, tom 54, Wydawnictwo „Elipsa”, s. 1919-229. 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982DEB">
              <w:rPr>
                <w:rStyle w:val="ng-star-inserted"/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>Mider</w:t>
            </w:r>
            <w:proofErr w:type="spellEnd"/>
            <w:r w:rsidRPr="00982DEB">
              <w:rPr>
                <w:rStyle w:val="ng-star-inserted"/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 xml:space="preserve">, D., Ziemak, E. (2021). Technologie wspierające prywatność–ideologia, prawo, wdrożenia. </w:t>
            </w:r>
            <w:proofErr w:type="spellStart"/>
            <w:r w:rsidRPr="00982DEB">
              <w:rPr>
                <w:rStyle w:val="ng-star-inserted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Przegląd</w:t>
            </w:r>
            <w:proofErr w:type="spellEnd"/>
            <w:r w:rsidRPr="00982DEB">
              <w:rPr>
                <w:rStyle w:val="ng-star-inserted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82DEB">
              <w:rPr>
                <w:rStyle w:val="ng-star-inserted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Bezpieczeństwa</w:t>
            </w:r>
            <w:proofErr w:type="spellEnd"/>
            <w:r w:rsidRPr="00982DEB">
              <w:rPr>
                <w:rStyle w:val="ng-star-inserted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82DEB">
              <w:rPr>
                <w:rStyle w:val="ng-star-inserted"/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Wewnętrznego</w:t>
            </w:r>
            <w:proofErr w:type="spellEnd"/>
            <w:r w:rsidRPr="00982DEB">
              <w:rPr>
                <w:rStyle w:val="ng-star-inserte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13, ISSN:</w:t>
            </w:r>
            <w:r w:rsidRPr="00982D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2DEB">
              <w:rPr>
                <w:rStyle w:val="ng-star-inserte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2080-1335, s. 132-172. 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Mider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</w:t>
            </w:r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Cyfrowy Panoptykon. Internet jako narzędzie nadzoru informacyjnego państwa nad społeczeństwem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[w:] </w:t>
            </w:r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Bezpieczeństwo współczesnego świata. Społeczeństwo, ekonomia, prawo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, K. Wilczyńska, K. Adamek (red. nauk.), Instytut Wydawniczy „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Maiuscula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”, Poznań 2013, ISBN: </w:t>
            </w:r>
            <w:r w:rsidRPr="00982DE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pl-PL"/>
              </w:rPr>
              <w:t>9788361449058,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s. 79-106. 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Mider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,</w:t>
            </w:r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 Ideologiczne źródła przemocy politycznej. Studium przypadku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2083: A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European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declaration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of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independence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Andersa </w:t>
            </w:r>
            <w:proofErr w:type="spellStart"/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Behringa</w:t>
            </w:r>
            <w:proofErr w:type="spellEnd"/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Breivika</w:t>
            </w:r>
            <w:proofErr w:type="spellEnd"/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 xml:space="preserve">, 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[w:] </w:t>
            </w:r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Ideologie, doktryny, ruchy społeczne i polityczne. Wybrane problemy,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M. Marczewska-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Rytko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, W. Ziętara (red. nauk.), Wydawnictwo Uniwersytetu Marii Curie-Skłodowskiej, Lublin 2015, ISBN: 978-83-7784-719-0, s. 317-332.</w:t>
            </w:r>
          </w:p>
          <w:p w:rsidR="0025536E" w:rsidRPr="00982DEB" w:rsidRDefault="0025536E" w:rsidP="0025536E">
            <w:pPr>
              <w:numPr>
                <w:ilvl w:val="0"/>
                <w:numId w:val="1"/>
              </w:numPr>
              <w:suppressAutoHyphens/>
              <w:autoSpaceDE w:val="0"/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D.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Mider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</w:t>
            </w:r>
            <w:r w:rsidRPr="00982DE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Źródła informacji w wywiadzie gospodarczym</w:t>
            </w: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, „Studia Politologiczne”, 2016, t. 42, ISSN: 1640-8888, s. 118-224.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lastRenderedPageBreak/>
              <w:t>Bezpieczeństwo informacyjne i informatyczne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6E" w:rsidRPr="00982DEB" w:rsidRDefault="0025536E" w:rsidP="0025536E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Biały, szary, czarny wywiad / Open Source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Intelligence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, SIGINT, CYBINT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Cyberprzestępczość,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Deep</w:t>
            </w:r>
            <w:proofErr w:type="spellEnd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Web, </w:t>
            </w:r>
            <w:proofErr w:type="spellStart"/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Darknet</w:t>
            </w:r>
            <w:proofErr w:type="spellEnd"/>
          </w:p>
          <w:p w:rsidR="0025536E" w:rsidRPr="00982DEB" w:rsidRDefault="0025536E" w:rsidP="0025536E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Psychosocjologiczne uwarunkowania zjawiska kłamstwa, praktyczne aspekty błędów poznawczych, dezinformacja, </w:t>
            </w:r>
            <w:proofErr w:type="spellStart"/>
            <w:r w:rsidRPr="00982DEB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>fake</w:t>
            </w:r>
            <w:proofErr w:type="spellEnd"/>
            <w:r w:rsidRPr="00982DEB"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news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Socjologia przemocy politycznej, partycypacja polityczna z użyciem przemocy, niekonwencjonalna partycypacja polityczna, cyberterroryzm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2"/>
              </w:numPr>
              <w:ind w:left="296" w:hanging="1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982DEB">
              <w:rPr>
                <w:rFonts w:ascii="Times New Roman" w:hAnsi="Times New Roman" w:cs="Times New Roman"/>
                <w:color w:val="000000" w:themeColor="text1"/>
                <w:lang w:val="pl-PL"/>
              </w:rPr>
              <w:t>Technologie wspierające prywatność, techniki i taktyki konspiracji</w:t>
            </w:r>
          </w:p>
          <w:p w:rsidR="0025536E" w:rsidRPr="00982DEB" w:rsidRDefault="0025536E" w:rsidP="00AB5F1C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25536E" w:rsidRPr="00982DEB" w:rsidTr="0025536E">
        <w:tc>
          <w:tcPr>
            <w:tcW w:w="1417" w:type="dxa"/>
            <w:shd w:val="clear" w:color="auto" w:fill="D9D9D9" w:themeFill="background1" w:themeFillShade="D9"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</w:rPr>
            </w:pPr>
            <w:r w:rsidRPr="00982DEB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</w:rPr>
            </w:pPr>
            <w:r w:rsidRPr="00982DEB">
              <w:rPr>
                <w:rFonts w:ascii="Times New Roman" w:hAnsi="Times New Roman" w:cs="Times New Roman"/>
                <w:b/>
                <w:bCs/>
              </w:rPr>
              <w:t>Sylwetka naukowa, zainteresowania badawcze</w:t>
            </w:r>
          </w:p>
        </w:tc>
        <w:tc>
          <w:tcPr>
            <w:tcW w:w="5943" w:type="dxa"/>
            <w:shd w:val="clear" w:color="auto" w:fill="D9D9D9" w:themeFill="background1" w:themeFillShade="D9"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</w:rPr>
            </w:pPr>
            <w:r w:rsidRPr="00982DEB">
              <w:rPr>
                <w:rFonts w:ascii="Times New Roman" w:hAnsi="Times New Roman" w:cs="Times New Roman"/>
                <w:b/>
                <w:bCs/>
              </w:rPr>
              <w:t>Najważniejsze publikacje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</w:rPr>
            </w:pPr>
            <w:r w:rsidRPr="00982DEB">
              <w:rPr>
                <w:rFonts w:ascii="Times New Roman" w:hAnsi="Times New Roman" w:cs="Times New Roman"/>
                <w:b/>
                <w:bCs/>
              </w:rPr>
              <w:t>Tytuł seminarium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25536E" w:rsidRPr="00982DEB" w:rsidRDefault="0025536E" w:rsidP="00AB5F1C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25536E" w:rsidRPr="00982DEB" w:rsidTr="0025536E">
        <w:tc>
          <w:tcPr>
            <w:tcW w:w="1417" w:type="dxa"/>
            <w:hideMark/>
          </w:tcPr>
          <w:p w:rsidR="0025536E" w:rsidRPr="00982DEB" w:rsidRDefault="0025536E" w:rsidP="00AB5F1C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lang w:val="de-DE"/>
              </w:rPr>
              <w:t>dr</w:t>
            </w:r>
            <w:proofErr w:type="spellEnd"/>
            <w:r w:rsidRPr="00982DEB">
              <w:rPr>
                <w:rFonts w:ascii="Times New Roman" w:hAnsi="Times New Roman" w:cs="Times New Roman"/>
                <w:b/>
                <w:lang w:val="de-DE"/>
              </w:rPr>
              <w:t xml:space="preserve"> hab. Grzegorz </w:t>
            </w:r>
            <w:proofErr w:type="spellStart"/>
            <w:r w:rsidRPr="00982DEB">
              <w:rPr>
                <w:rFonts w:ascii="Times New Roman" w:hAnsi="Times New Roman" w:cs="Times New Roman"/>
                <w:b/>
                <w:lang w:val="de-DE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b/>
                <w:lang w:val="de-DE"/>
              </w:rPr>
              <w:t xml:space="preserve"> (prof. UW)</w:t>
            </w:r>
          </w:p>
        </w:tc>
        <w:tc>
          <w:tcPr>
            <w:tcW w:w="2106" w:type="dxa"/>
            <w:hideMark/>
          </w:tcPr>
          <w:p w:rsidR="0025536E" w:rsidRDefault="0025536E" w:rsidP="00AB5F1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Doktor habilitowany nauk społecznych w obszarze nauk o bezpieczeństwie. Profesor Uniwersytetu Warszawskiego. Były Dyrektor Instytutu Badań i Rozwoju Wyższej Szkoły Policji w Szczytnie. Członek wielu rad naukowych i grup eksperckich m.in.: Rady Naukowo Technicznej przy Ministrze Spraw Wewnętrznych (2013-2017), Rady Naukowej Komendanta Głównego Policji (2014-2017), Grupy </w:t>
            </w: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 xml:space="preserve">Roboczej nr 14 „Sensory (w tym biosensory) i sieci sensorowe” ds. Krajowych Inteligentnych Specjalizacji w Ministerstwie Rozwoju (2015 - 2016), zespołu eksperckiego programu strategicznego „Satelitarny system optoelektronicznej obserwacji Ziemi” Narodowego Centrum Badań i Rozwoju - Polskiej Agencji Kosmicznej od 2014-2017), ekspert Narodowego Centrum Badań i Rozwoju. Uczestnik 66 projektów naukowych, badawczo-rozwojowych i zadań projektowych o charakterze krajowym i międzynarodowym w charakterze wykonawcy, kierownika, </w:t>
            </w: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 xml:space="preserve">koordynatora. Recenzent prac doktorskich na Uniwersytecie Technicznym w Sydney (UTS) oraz członek UTS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Research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C</w:t>
            </w:r>
            <w:r w:rsidRPr="00982DEB">
              <w:rPr>
                <w:rFonts w:ascii="Times New Roman" w:hAnsi="Times New Roman" w:cs="Times New Roman"/>
                <w:lang w:val="pl-PL"/>
              </w:rPr>
              <w:t>ommunity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. Prelegent oraz członek komitetów naukowych i organizacyjnych wielu konferencji międzynarodowych. Użytkownik końcowy w wielu projektach europejskich oraz członek komitetów sterujących konsorcjów naukowo-przemysłowych. Autor ponad 40 publikacji i komunikatów naukowych w obszarze bezpieczeństwa, symulacji komputerowej, cyberprzestępczości i wsparcia technicznego działań </w:t>
            </w: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 xml:space="preserve">o charakterze kryzysowym wydawanych m.in. w USA, Chinach, Hongkongu, Australii. Uczestnik jedenastu staży zagranicznych m.in. w Sam Houston University, Law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Enforcement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Management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Institute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oraz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Instituto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Superior de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Ciencias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Policiaia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e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Seguranca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Interna w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Lisbonie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. Były zastępca redaktora naczelnego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Internal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Security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Journal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(ISSN:20805268). Członek Międzynarodowego Stowarzyszenia Inżynierów - IAENG oraz NDIA (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National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Defence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Industrial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Association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).</w:t>
            </w:r>
          </w:p>
          <w:p w:rsidR="0025536E" w:rsidRDefault="0025536E" w:rsidP="00AB5F1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  <w:p w:rsidR="0025536E" w:rsidRPr="00982DEB" w:rsidRDefault="0025536E" w:rsidP="00AB5F1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  <w:tc>
          <w:tcPr>
            <w:tcW w:w="5943" w:type="dxa"/>
          </w:tcPr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G.,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Siemianowski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T., “Application </w:t>
            </w:r>
            <w:r w:rsidRPr="00982DEB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f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the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fairyplay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operation system to counter child pornography”, “Internal Security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Jurnal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” ISSN: 2080-5268.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G.,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M., Urban A., “Japanese Support System of Crisis Management Services”, “Internal Security Journal” ISSN: 2080-5268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„A Prototype Simulator Of Police Operations In Crisis Situations”, [w:] Simulation Meets Global Challenges, ISBN 978-0-9564944-0-5,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Malezja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2010.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Modeling human behaviors in the context of constructing simulator of police operations in crisis situations, [w:] Information Security and Artificial Intelligence,  ISBN: 978-1-4244-8870-4,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Chiny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2010.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, T. Siemianowski, Metody masowych kradzieży kont użytkowników gier online,  [w:] Przestępczość Teleinformatyczna,  ISBN 978-83-934456-0-8.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6.</w:t>
            </w: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ab/>
              <w:t>15.</w:t>
            </w: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ab/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G.Gudzbeler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, Simulation of police actions and operations, Journal of Physical Science and Applications,  USA, ISSN:2159-5348.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, S. Górski,  Modelowanie zachowań ludzkich na potrzeby działań w sytuacjach kryzysowych, [w:] Systemy Teleinformatyczne w Zarządzaniu Kryzysowym; ISBN 978-83-7523-201-1.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, A. Urban, A. Bortkiewicz, M. Dąbrowski - Wpływ poruszania się pojazdami dostosowanymi do ruchu lewostronnego (RHD) w ruchu prawostronnym na bezpieczeństwo ruchu drogowego w Polsce, Transport miejski i Regionalny nr 3/2015, ISSN 1732-5153.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Dąbrowski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Borowik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- Application of Collimated Projection Systems for the Purpose of Driving Simulators, APCASE 2015, Ecuador, ISBN:  978-1-4799-7588-4.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; J.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Struniawski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- Functional assumptions of virtual system to improve shooting training and intervention tactics of services responsible for security (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VirtPol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), SPIE Vol. 10445, Photonics Applications in Astronomy, Communications, Industry, and High Energy Physics Experiments 2017;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doi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: 10.1117/12.2281622.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W.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Przyjemski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, Zastosowanie konstruktywnych systemów symulacyjnych w szkoleniu i doskonaleniu zawodowym kadr logistyki, [w:] Bezpieczeństwo zintegrowane współczesnej Polski (red. A. Stępień, R. Stawicki, Przedsiębiorczość i Zarządzanie tom XIX, zeszyt 2, część III, 2018, s. 167-178, ISSN 1733-2486.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, A. Urban, Human support for simulation virtual training, [w:] Advances in Computer Science and Electronics Engineering, Research Publishing Services, Bombay, Indie, s. 559, ISBN 978-981-07-1847-3.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„Symulatory pojazdów w procesie szkolenia podmiotów odpowiedzialnych za bezpieczeństwo wewnętrzne” ISBN 978-83-8085-772-8, DIFIN. </w:t>
            </w:r>
          </w:p>
          <w:p w:rsidR="0025536E" w:rsidRPr="00982DEB" w:rsidRDefault="0025536E" w:rsidP="0025536E">
            <w:pPr>
              <w:pStyle w:val="Akapitzlist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Grzegorz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, Mariusz Dąbrowski, Andrzej Urban; Praktyczne aspekty wykorzystania symulatora działań Policji w sytuacjach kryzysowych, ISBN: 9788374624008.</w:t>
            </w:r>
          </w:p>
          <w:p w:rsidR="0025536E" w:rsidRPr="00982DEB" w:rsidRDefault="0025536E" w:rsidP="0025536E">
            <w:pPr>
              <w:numPr>
                <w:ilvl w:val="0"/>
                <w:numId w:val="3"/>
              </w:numPr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Grzegorz &amp;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Chaczko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Zenon &amp; Kulbacki, Marek &amp;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Alsawwaf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Mohammad &amp;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Thai-Chyzhykau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Ilya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 &amp; Wajs-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Chaczko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Peter. </w:t>
            </w:r>
            <w:r w:rsidRPr="00982DEB">
              <w:rPr>
                <w:rFonts w:ascii="Times New Roman" w:hAnsi="Times New Roman" w:cs="Times New Roman"/>
                <w:lang w:val="en-US"/>
              </w:rPr>
              <w:t xml:space="preserve">(2020). Exploration of Explainable AI in Context of Human-Machine Interface for the Assistive Driving System. </w:t>
            </w:r>
            <w:r w:rsidRPr="00982DEB">
              <w:rPr>
                <w:rFonts w:ascii="Times New Roman" w:hAnsi="Times New Roman" w:cs="Times New Roman"/>
              </w:rPr>
              <w:lastRenderedPageBreak/>
              <w:t>Lecture Notes in Artificial Intelligence, Springer Nature Switzerland AG, 10.1007/978-3-030-42058-1_42, 20 pkt.</w:t>
            </w:r>
          </w:p>
          <w:p w:rsidR="0025536E" w:rsidRPr="00982DEB" w:rsidRDefault="0025536E" w:rsidP="0025536E">
            <w:pPr>
              <w:numPr>
                <w:ilvl w:val="0"/>
                <w:numId w:val="3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EB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, G.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>, Selection of training methods in systems dedicated to detection of chemical hazards, Proceedings of the 19th International Conference on Modeling &amp; Applied Simulation (MAS 2020), ISBN: 978-88-85741-48-5.</w:t>
            </w:r>
          </w:p>
          <w:p w:rsidR="0025536E" w:rsidRPr="00982DEB" w:rsidRDefault="0025536E" w:rsidP="0025536E">
            <w:pPr>
              <w:numPr>
                <w:ilvl w:val="0"/>
                <w:numId w:val="3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, M.,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, G. (2019) European sensor system for CBRN applications, Proceedings of the 9th International Defense and Homeland Security Simulation Workshop, DHSS 2019, pp. 16-22. </w:t>
            </w:r>
          </w:p>
          <w:p w:rsidR="0025536E" w:rsidRPr="00982DEB" w:rsidRDefault="0025536E" w:rsidP="0025536E">
            <w:pPr>
              <w:numPr>
                <w:ilvl w:val="0"/>
                <w:numId w:val="3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EB">
              <w:rPr>
                <w:rFonts w:ascii="Times New Roman" w:hAnsi="Times New Roman" w:cs="Times New Roman"/>
                <w:lang w:val="en-US"/>
              </w:rPr>
              <w:t xml:space="preserve">G.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Gawlik-Kobylińska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 M., Urban M.,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Misiuk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 A., Simulation-based training in the use of the EU-SENSE CBRN reconnaissance device, Proceedings of the 11th International Defense and Homeland Security Simulation Workshop (DHSS 2021), Conference ISSN: 2724-0363, Volume ISBN: 978-88-85741-63-8, DOI: 10.46354/i3m.2021.dhss.006.</w:t>
            </w:r>
          </w:p>
          <w:p w:rsidR="0025536E" w:rsidRPr="00982DEB" w:rsidRDefault="0025536E" w:rsidP="0025536E">
            <w:pPr>
              <w:numPr>
                <w:ilvl w:val="0"/>
                <w:numId w:val="3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Gawlik-Kobylińska, M.,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G., Szklarski, Ł.,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Kopp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>, N., Koch-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Eschweiler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H., &amp; Urban, M. (2021). </w:t>
            </w:r>
            <w:r w:rsidRPr="00982DEB">
              <w:rPr>
                <w:rFonts w:ascii="Times New Roman" w:hAnsi="Times New Roman" w:cs="Times New Roman"/>
                <w:lang w:val="en-US"/>
              </w:rPr>
              <w:t xml:space="preserve">The EU-SENSE System for Chemical Hazards Detection, Identification, and Monitoring. Applied Sciences, 11(21), 10308. ISSN: 2076-3417, </w:t>
            </w:r>
            <w:hyperlink r:id="rId5" w:history="1">
              <w:r w:rsidRPr="00982DEB">
                <w:rPr>
                  <w:rStyle w:val="Hipercze"/>
                  <w:rFonts w:ascii="Times New Roman" w:hAnsi="Times New Roman" w:cs="Times New Roman"/>
                  <w:lang w:val="en-US"/>
                </w:rPr>
                <w:t>https://doi.org/10.3390/app112110308</w:t>
              </w:r>
            </w:hyperlink>
            <w:r w:rsidRPr="00982DEB">
              <w:rPr>
                <w:rFonts w:ascii="Times New Roman" w:hAnsi="Times New Roman" w:cs="Times New Roman"/>
                <w:lang w:val="en-US"/>
              </w:rPr>
              <w:t xml:space="preserve">, 100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pkt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>(2021).</w:t>
            </w:r>
          </w:p>
          <w:p w:rsidR="0025536E" w:rsidRPr="00982DEB" w:rsidRDefault="0025536E" w:rsidP="00AB5F1C">
            <w:pPr>
              <w:ind w:hanging="238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746" w:type="dxa"/>
            <w:hideMark/>
          </w:tcPr>
          <w:p w:rsidR="0025536E" w:rsidRPr="00982DEB" w:rsidRDefault="0025536E" w:rsidP="00AB5F1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lang w:val="pl-PL"/>
              </w:rPr>
              <w:lastRenderedPageBreak/>
              <w:t>Techniczne aspekty bezpieczeństwa  wewnętrznego w XXI wieku.</w:t>
            </w:r>
          </w:p>
        </w:tc>
        <w:tc>
          <w:tcPr>
            <w:tcW w:w="2782" w:type="dxa"/>
          </w:tcPr>
          <w:p w:rsidR="0025536E" w:rsidRPr="00982DEB" w:rsidRDefault="0025536E" w:rsidP="00AB5F1C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Prace dyplomowe powinny dotyczyć jednego z wymienionych obszarów: 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Zarządzanie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kryzysowe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Logistyka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zarządzania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kryzysowego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Technologie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bezpieczeństwa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Kierowa</w:t>
            </w:r>
            <w:bookmarkStart w:id="0" w:name="_GoBack"/>
            <w:bookmarkEnd w:id="0"/>
            <w:r w:rsidRPr="00982DEB">
              <w:rPr>
                <w:rFonts w:ascii="Times New Roman" w:hAnsi="Times New Roman" w:cs="Times New Roman"/>
                <w:lang w:val="pl-PL"/>
              </w:rPr>
              <w:t>nie i dowodzenie w podmiotach odpowiedzialnych za bezpieczeństwo wewnętrzne.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Ochrona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informacji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niejawnych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Cyberprzestępczość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i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cyberterroryzm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296" w:hanging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Bezpieczeństwo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imprez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masowych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25536E" w:rsidRPr="00982DEB" w:rsidRDefault="0025536E" w:rsidP="00AB5F1C">
            <w:pPr>
              <w:pStyle w:val="Akapitzlist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5536E" w:rsidRPr="00982DEB" w:rsidRDefault="0025536E" w:rsidP="00AB5F1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Przykładowe tematy prac: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Rola wybranych grup dyspozycyjnych w zapewnieniu </w:t>
            </w: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>bezpieczeństwa publicznego w Polsce.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Organizacja stanowisk dowodzenia Państwowej Straży Pożarnej w działaniach ratowniczych.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Współczesne wyzwania zarządzania logistycznego w sytuacjach kryzysowych.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Wpływ ogólnego rozporządzenia o ochronie danych (RODO) na funkcjonowanie wybranych podmiotów odpowiedzialnych za bezpieczeństwo wewnętrzne w Polsce.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eastAsiaTheme="minorEastAsia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Bezpieczeństwo państwa i obywateli w krajowych oraz europejskich inicjatywach badawczo-rozwojowych.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Biometria – szanse i zagrożenia związane z zastosowaniem nowoczesnych instrumentów identyfikacji.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Wyzwania i zagrożenia dla bezpieczeństwa w cyberprzestrzeni w XXI wieku.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lastRenderedPageBreak/>
              <w:t>Wpływ funkcjonowania Europejskiej Agencji Straży Granicznej i Przybrzeżnej na bezpieczeństwo państw UE w kontekście nasilonych procesów migracji w XXI wieku.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Bezpieczeństwo ruchu drogowego w Polsce w kontekście zastosowania nowoczesnych technologii nadzoru ruchu drogowego.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Zagadnienia prawne i kryminalistyczne przestępstw w ruchu drogowym.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Zarządzanie ryzykiem logistycznym w sytuacjach kryzysowych.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Rola Policji w procesie zapewniania bezpieczeństwa społeczności lokalnych.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Miasta inteligentne – szanse i zagrożenia dla bezpieczeństwa publicznego.</w:t>
            </w:r>
          </w:p>
          <w:p w:rsidR="0025536E" w:rsidRPr="00982DEB" w:rsidRDefault="0025536E" w:rsidP="00E9344F">
            <w:pPr>
              <w:pStyle w:val="Akapitzlist"/>
              <w:numPr>
                <w:ilvl w:val="0"/>
                <w:numId w:val="13"/>
              </w:numPr>
              <w:ind w:left="296" w:hanging="141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Nowoczesne narzędzia szkolenia i doskonalenia funkcjonariuszy podmiotów odpowiedzialnych za </w:t>
            </w:r>
            <w:r w:rsidRPr="00982DEB">
              <w:rPr>
                <w:rFonts w:ascii="Times New Roman" w:hAnsi="Times New Roman" w:cs="Times New Roman"/>
                <w:lang w:val="pl-PL"/>
              </w:rPr>
              <w:lastRenderedPageBreak/>
              <w:t>bezpieczeństwo wewnętrzne.</w:t>
            </w:r>
          </w:p>
        </w:tc>
      </w:tr>
      <w:tr w:rsidR="0025536E" w:rsidTr="0025536E">
        <w:tc>
          <w:tcPr>
            <w:tcW w:w="1417" w:type="dxa"/>
            <w:shd w:val="clear" w:color="auto" w:fill="D9D9D9" w:themeFill="background1" w:themeFillShade="D9"/>
            <w:hideMark/>
          </w:tcPr>
          <w:p w:rsidR="0025536E" w:rsidRDefault="0025536E" w:rsidP="00AB5F1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Promotor</w:t>
            </w:r>
          </w:p>
        </w:tc>
        <w:tc>
          <w:tcPr>
            <w:tcW w:w="2106" w:type="dxa"/>
            <w:shd w:val="clear" w:color="auto" w:fill="D9D9D9" w:themeFill="background1" w:themeFillShade="D9"/>
            <w:hideMark/>
          </w:tcPr>
          <w:p w:rsidR="0025536E" w:rsidRDefault="0025536E" w:rsidP="00AB5F1C">
            <w:pPr>
              <w:rPr>
                <w:b/>
                <w:bCs/>
              </w:rPr>
            </w:pPr>
            <w:r>
              <w:rPr>
                <w:b/>
                <w:bCs/>
              </w:rPr>
              <w:t>Sylwetka naukowa, zainteresowania badawcze</w:t>
            </w:r>
          </w:p>
        </w:tc>
        <w:tc>
          <w:tcPr>
            <w:tcW w:w="5943" w:type="dxa"/>
            <w:shd w:val="clear" w:color="auto" w:fill="D9D9D9" w:themeFill="background1" w:themeFillShade="D9"/>
            <w:hideMark/>
          </w:tcPr>
          <w:p w:rsidR="0025536E" w:rsidRDefault="0025536E" w:rsidP="00AB5F1C">
            <w:pPr>
              <w:rPr>
                <w:b/>
                <w:bCs/>
              </w:rPr>
            </w:pPr>
            <w:r>
              <w:rPr>
                <w:b/>
                <w:bCs/>
              </w:rPr>
              <w:t>Najważniejsze publikacje</w:t>
            </w:r>
          </w:p>
        </w:tc>
        <w:tc>
          <w:tcPr>
            <w:tcW w:w="1746" w:type="dxa"/>
            <w:shd w:val="clear" w:color="auto" w:fill="D9D9D9" w:themeFill="background1" w:themeFillShade="D9"/>
            <w:hideMark/>
          </w:tcPr>
          <w:p w:rsidR="0025536E" w:rsidRDefault="0025536E" w:rsidP="00AB5F1C">
            <w:pPr>
              <w:rPr>
                <w:b/>
                <w:bCs/>
              </w:rPr>
            </w:pPr>
            <w:r>
              <w:rPr>
                <w:b/>
                <w:bCs/>
              </w:rPr>
              <w:t>Tytuł seminarium</w:t>
            </w:r>
          </w:p>
        </w:tc>
        <w:tc>
          <w:tcPr>
            <w:tcW w:w="2782" w:type="dxa"/>
            <w:shd w:val="clear" w:color="auto" w:fill="D9D9D9" w:themeFill="background1" w:themeFillShade="D9"/>
            <w:hideMark/>
          </w:tcPr>
          <w:p w:rsidR="0025536E" w:rsidRDefault="0025536E" w:rsidP="00AB5F1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25536E" w:rsidTr="0025536E">
        <w:tc>
          <w:tcPr>
            <w:tcW w:w="1417" w:type="dxa"/>
          </w:tcPr>
          <w:p w:rsidR="0025536E" w:rsidRDefault="0025536E" w:rsidP="00AB5F1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Doc. dr Marek Nadolski</w:t>
            </w:r>
          </w:p>
          <w:p w:rsidR="0025536E" w:rsidRDefault="0025536E" w:rsidP="00AB5F1C">
            <w:pPr>
              <w:rPr>
                <w:b/>
                <w:bCs/>
                <w:lang w:val="pl-PL"/>
              </w:rPr>
            </w:pPr>
          </w:p>
          <w:p w:rsidR="0025536E" w:rsidRDefault="0025536E" w:rsidP="00AB5F1C">
            <w:pPr>
              <w:rPr>
                <w:b/>
                <w:bCs/>
                <w:lang w:val="pl-PL"/>
              </w:rPr>
            </w:pPr>
          </w:p>
          <w:p w:rsidR="0025536E" w:rsidRDefault="0025536E" w:rsidP="00AB5F1C">
            <w:pPr>
              <w:rPr>
                <w:b/>
                <w:bCs/>
                <w:lang w:val="pl-PL"/>
              </w:rPr>
            </w:pPr>
          </w:p>
          <w:p w:rsidR="0025536E" w:rsidRDefault="0025536E" w:rsidP="00AB5F1C">
            <w:pPr>
              <w:rPr>
                <w:b/>
                <w:bCs/>
                <w:lang w:val="pl-PL"/>
              </w:rPr>
            </w:pPr>
          </w:p>
          <w:p w:rsidR="0025536E" w:rsidRDefault="0025536E" w:rsidP="00AB5F1C">
            <w:pPr>
              <w:rPr>
                <w:b/>
                <w:bCs/>
                <w:lang w:val="pl-PL"/>
              </w:rPr>
            </w:pPr>
          </w:p>
          <w:p w:rsidR="0025536E" w:rsidRDefault="0025536E" w:rsidP="00AB5F1C">
            <w:pPr>
              <w:rPr>
                <w:b/>
                <w:bCs/>
                <w:lang w:val="pl-PL"/>
              </w:rPr>
            </w:pPr>
          </w:p>
          <w:p w:rsidR="0025536E" w:rsidRDefault="0025536E" w:rsidP="00AB5F1C">
            <w:pPr>
              <w:rPr>
                <w:b/>
                <w:bCs/>
                <w:lang w:val="pl-PL"/>
              </w:rPr>
            </w:pPr>
          </w:p>
        </w:tc>
        <w:tc>
          <w:tcPr>
            <w:tcW w:w="2106" w:type="dxa"/>
          </w:tcPr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Doktor nauk politycznych zatrudniony na stanowisku docenta. Zainteresowania badawcze koncentrują się na problematyce władzy i opozycji oraz integracji europejskiej. Autor monografii poświęconych komunistycznej socjotechnice przejmowania i sprawowania władzy, współredaktor zbioru dokumentów poświęconych dziejom opozycji antykomunistycznej w Polsce, badacz procesów zjednoczeniowych w Europie, autor artykułów na temat dziejów Polski i historii powszechnej.</w:t>
            </w:r>
          </w:p>
          <w:p w:rsidR="0025536E" w:rsidRDefault="0025536E" w:rsidP="00AB5F1C">
            <w:pPr>
              <w:rPr>
                <w:lang w:val="pl-PL"/>
              </w:rPr>
            </w:pPr>
          </w:p>
        </w:tc>
        <w:tc>
          <w:tcPr>
            <w:tcW w:w="5943" w:type="dxa"/>
          </w:tcPr>
          <w:p w:rsidR="0025536E" w:rsidRDefault="0025536E" w:rsidP="0025536E">
            <w:pPr>
              <w:pStyle w:val="Akapitzlist"/>
              <w:numPr>
                <w:ilvl w:val="0"/>
                <w:numId w:val="5"/>
              </w:numPr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Komuniści wobec chłopów w Polsce 1941-1956. Mity i rzeczywistość, OBS, Warszawa 1993, ss.280. 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>Z dziejów integracji europejskiej, Wydawnictwo Sejmowe, Warszawa 2004, ss.87.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„Kryzysy” w procesie integracji europejskiej z perspektywy historycznej, [w:] K.A. Wojtaszczyk, J. Nadolska (red.), Kryzysy w procesie integracji europejskiej i sposoby ich przezwyciężania, ASPRA-JR, Warszawa 2015, s.27-51. 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Wypędzenia i uchodźstwo w optyce religijnej w kontekście wielowiekowych prób przezwyciężenia podziałów społecznych w Europie, [w:] A. </w:t>
            </w:r>
            <w:proofErr w:type="spellStart"/>
            <w:r>
              <w:rPr>
                <w:lang w:val="pl-PL"/>
              </w:rPr>
              <w:t>Wojtaszak</w:t>
            </w:r>
            <w:proofErr w:type="spellEnd"/>
            <w:r>
              <w:rPr>
                <w:lang w:val="pl-PL"/>
              </w:rPr>
              <w:t xml:space="preserve">, J. </w:t>
            </w:r>
            <w:proofErr w:type="spellStart"/>
            <w:r>
              <w:rPr>
                <w:lang w:val="pl-PL"/>
              </w:rPr>
              <w:t>Jartyś</w:t>
            </w:r>
            <w:proofErr w:type="spellEnd"/>
            <w:r>
              <w:rPr>
                <w:lang w:val="pl-PL"/>
              </w:rPr>
              <w:t xml:space="preserve">, A. Krawcewicz (red.), Europa wobec problemu uchodźców w XXI wieku, Wydawnictwo Naukowe Wydziału Humanistycznego US Minerwa, Szczecin 2016, s.255-270. 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>Postrzeganie imigrantów i perspektywy jedności kontynentu w pryzmacie europejskiego protekcjonalizmu cywilizacyjnego, [w:]   J. Nadolska, P. Stawarz, K.A. Wojtaszczyk (red.), Unia Europejska i wybrane państwa świata wobec kryzysu migracyjnego, Oficyna Wydawnicza ASPRA-JR, Warszawa 2017, s.69-92.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Inne granice. Rola antecedencji cywilizacyjnych, religijnych i etnicznych w formowaniu przestrzeni </w:t>
            </w:r>
            <w:proofErr w:type="spellStart"/>
            <w:r>
              <w:rPr>
                <w:lang w:val="pl-PL"/>
              </w:rPr>
              <w:t>eurounijnej</w:t>
            </w:r>
            <w:proofErr w:type="spellEnd"/>
            <w:r>
              <w:rPr>
                <w:lang w:val="pl-PL"/>
              </w:rPr>
              <w:t>, [w:] M. Trojanowska-</w:t>
            </w:r>
            <w:proofErr w:type="spellStart"/>
            <w:r>
              <w:rPr>
                <w:lang w:val="pl-PL"/>
              </w:rPr>
              <w:t>Strzęboszewska</w:t>
            </w:r>
            <w:proofErr w:type="spellEnd"/>
            <w:r>
              <w:rPr>
                <w:lang w:val="pl-PL"/>
              </w:rPr>
              <w:t>, Unia Europejska w poszukiwaniu swoich granic, Wydawnictwo Naukowe UKSW, Warszawa 2017, s.195-210.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Demokracja w Polsce – tradycja i współczesność, [w:] K.A. Wojtaszczyk, J. Nadolska, Ł. </w:t>
            </w:r>
            <w:proofErr w:type="spellStart"/>
            <w:r>
              <w:rPr>
                <w:lang w:val="pl-PL"/>
              </w:rPr>
              <w:t>Zamęcki</w:t>
            </w:r>
            <w:proofErr w:type="spellEnd"/>
            <w:r>
              <w:rPr>
                <w:lang w:val="pl-PL"/>
              </w:rPr>
              <w:t xml:space="preserve"> (red.), Demokracja. Istota, idee, cele i ich realizacja, Oficyna Wydawnicza ASPRA-JR, Warszawa 2018, s. 137-165.</w:t>
            </w:r>
          </w:p>
          <w:p w:rsidR="0025536E" w:rsidRDefault="0025536E" w:rsidP="00AB5F1C">
            <w:pPr>
              <w:rPr>
                <w:lang w:val="pl-PL"/>
              </w:rPr>
            </w:pPr>
          </w:p>
        </w:tc>
        <w:tc>
          <w:tcPr>
            <w:tcW w:w="1746" w:type="dxa"/>
          </w:tcPr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Historyczne i współczesne uwarunkowania dróg rozwojowych Polski i świata</w:t>
            </w:r>
          </w:p>
          <w:p w:rsidR="0025536E" w:rsidRDefault="0025536E" w:rsidP="00AB5F1C">
            <w:pPr>
              <w:rPr>
                <w:b/>
                <w:bCs/>
                <w:lang w:val="pl-PL"/>
              </w:rPr>
            </w:pPr>
          </w:p>
        </w:tc>
        <w:tc>
          <w:tcPr>
            <w:tcW w:w="2782" w:type="dxa"/>
          </w:tcPr>
          <w:p w:rsidR="0025536E" w:rsidRDefault="0025536E" w:rsidP="00AB5F1C">
            <w:pPr>
              <w:jc w:val="both"/>
              <w:rPr>
                <w:b/>
              </w:rPr>
            </w:pPr>
            <w:r>
              <w:rPr>
                <w:b/>
              </w:rPr>
              <w:t xml:space="preserve">Problemy: 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Epoka interregnum – przełom XX i XXI wieku. Bezdroża światowego (nie)ładu społeczno-politycznego i ekonomicznego. 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Wybór dróg rozwojowych Polski i świata (między integracją a izolowaniem, uniwersalizmem a partykularyzmem, liberalizmem a nacjonalizmem, faszyzmem, komunizmem). 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</w:pPr>
            <w:r>
              <w:rPr>
                <w:lang w:val="pl-PL"/>
              </w:rPr>
              <w:t xml:space="preserve">Spory i konflikty społeczno-ekonomiczne, ideowo-religijne, polityczne i etniczne w Polsce i świecie na przełomie XX i XXI wieku (np. </w:t>
            </w:r>
            <w:proofErr w:type="spellStart"/>
            <w:r>
              <w:t>Bałkany</w:t>
            </w:r>
            <w:proofErr w:type="spellEnd"/>
            <w:r>
              <w:t xml:space="preserve">, </w:t>
            </w:r>
            <w:proofErr w:type="spellStart"/>
            <w:r>
              <w:t>Ukraina</w:t>
            </w:r>
            <w:proofErr w:type="spellEnd"/>
            <w:r>
              <w:t xml:space="preserve">, </w:t>
            </w:r>
            <w:proofErr w:type="spellStart"/>
            <w:r>
              <w:t>Bliski</w:t>
            </w:r>
            <w:proofErr w:type="spellEnd"/>
            <w:r>
              <w:t xml:space="preserve"> </w:t>
            </w:r>
            <w:proofErr w:type="spellStart"/>
            <w:r>
              <w:t>Wschód</w:t>
            </w:r>
            <w:proofErr w:type="spellEnd"/>
            <w:r>
              <w:t xml:space="preserve">). 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Stosunki z sąsiadami w ramach Unii Europejskiej i spoza niej (z USA, Rosją, Ukrainą itd.). 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Wielkie polskie idee – sanacja, Polska ludowa, Polska 3 „S”, II Japonia, </w:t>
            </w:r>
            <w:r>
              <w:rPr>
                <w:lang w:val="pl-PL"/>
              </w:rPr>
              <w:lastRenderedPageBreak/>
              <w:t xml:space="preserve">zielona wyspa, dobra zmiana. </w:t>
            </w:r>
          </w:p>
          <w:p w:rsidR="0025536E" w:rsidRDefault="0025536E" w:rsidP="0025536E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Zagrożenia bezpieczeństwa państwa (terroryzm, bieda, głód, przeludnienie, pułapka średniego rozwoju, kataklizmy, konflikty).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</w:p>
          <w:p w:rsidR="0025536E" w:rsidRDefault="0025536E" w:rsidP="00AB5F1C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Przykładowe tematy do uszczegółowienia: </w:t>
            </w:r>
          </w:p>
          <w:p w:rsidR="0025536E" w:rsidRDefault="00E9344F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1. </w:t>
            </w:r>
            <w:r w:rsidR="0025536E">
              <w:rPr>
                <w:lang w:val="pl-PL"/>
              </w:rPr>
              <w:t xml:space="preserve">„Lokomotywy współczesności”. Rola migracji (lub: religii, idei, strachu, zaufania, korupcji, globalizacji itp.) we współczesnej polityce.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2. „Rewolucje” i reformy gospodarcze (przemysłowa, elektryfikacyjna, </w:t>
            </w:r>
            <w:proofErr w:type="spellStart"/>
            <w:r>
              <w:rPr>
                <w:lang w:val="pl-PL"/>
              </w:rPr>
              <w:t>cyfryzacyjna</w:t>
            </w:r>
            <w:proofErr w:type="spellEnd"/>
            <w:r>
              <w:rPr>
                <w:lang w:val="pl-PL"/>
              </w:rPr>
              <w:t xml:space="preserve">, energii odnawialnej) - np. produkcja energii odnawialnej kołem zamachowym postępu gospodarczego w I połowie XXI wieku.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3. „Szklany sufit”. Pułapka średniego rozwoju – np. istota pułapki lub Polska w pułapce średniego rozwoju.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4. „Uchodźca ma twarz Chrystusa”. Chrześcijanie </w:t>
            </w:r>
            <w:r>
              <w:rPr>
                <w:lang w:val="pl-PL"/>
              </w:rPr>
              <w:lastRenderedPageBreak/>
              <w:t xml:space="preserve">(np. polscy, węgierscy, europejscy) wobec zjawiska masowej migracji do Europy.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5. Chrześcijańska (katolicka) koncepcja jedności a nacjonalizm.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6. Konflikty o ropę, rudę żelaza i węgiel, ziemie uprawne, dostęp do wody i ich skutki (budowa zapór na Dunaju, Nilu, Nordstream2).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7. Między „dobrą zmianą” a post-prawdą. Wymiar prawny (lub: socjalny, ekonomiczny, ideowy) rządów Prawa i Sprawiedliwości.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8. Politycy wobec wyboru: dobrobyt materialny czy zdrowie indywidualne lub np. ochrona środowiska.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9. Polskie koncepcje integracji Europy (np. projekt W.B. Jastrzębowskiego, ks. A. Czartoryskiego, koncepcja Międzymorza, konfederacja polsko-czechosłowacka).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10. Polskie sojusze w XX/XXI wieku i ich skutki (polsko-francuski, w ramach bloku radzieckiego, UE, NATO).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11. Rozwój gospodarczy czy zabezpieczenie społeczne – liberalizm kontra socjalizm (komunizm).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12. Solidarność europejska. Wymiar gospodarczy (np.: duchowy, ideowy, socjalny, ekologiczny).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13. Strach i zaufanie w polityce. Perspektywy demokracji lub rządów autorytarnych.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14. Tożsamość wspólnotowa (np.: narodowa, religijna, klasowa, cywilizacyjna) a postęp społeczny w warunkach procesów globalizacyjnych – np. narody (społeczeństwa) ekskluzywne we współczesnej rywalizacji gospodarczej. Studium porównawcze krajów Zatoki Perskiej i Chin lub Japonii.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15. Wartości europejskie a interesy narodowe (np.: Niemiec, Francji, Polski, krajów bałkańskich, Grupy Wyszehradzkiej).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16. Wartości europejskie a interesy narodowe (lub religijne, biznesowe) - np. w kontekście: (socjalnych) </w:t>
            </w:r>
            <w:r>
              <w:rPr>
                <w:lang w:val="pl-PL"/>
              </w:rPr>
              <w:lastRenderedPageBreak/>
              <w:t xml:space="preserve">praw człowieka, migracji, energii odnawialnej, solidarności energetycznej – Nordstream2.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17. Wyboiste drogi sąsiedztwa i porozumienia polsko-ukraińskiego.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18. Wykluczeni (np.: proletariat, chłopi, prekariat) siłą napędową rozwoju społecznego – np. prekariat (w ogóle lub w konkretnym kraju) hamulcem rozwoju lub źródłem konfliktów społecznych.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19. Zasady europejskie a wartości chrześcijańskie. </w:t>
            </w:r>
          </w:p>
          <w:p w:rsidR="0025536E" w:rsidRDefault="0025536E" w:rsidP="00AB5F1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20. Zerwane więzi. Elity i masy u władzy a deficyt (nadmiar) demokracji (np.: rządy totalitarne, autorytarne, „demokracji kierowanej” w Polsce i w Europie Środkowowschodniej).</w:t>
            </w:r>
          </w:p>
          <w:p w:rsidR="0025536E" w:rsidRDefault="0025536E" w:rsidP="00AB5F1C">
            <w:pPr>
              <w:rPr>
                <w:lang w:val="pl-PL"/>
              </w:rPr>
            </w:pPr>
          </w:p>
        </w:tc>
      </w:tr>
    </w:tbl>
    <w:p w:rsidR="0025536E" w:rsidRDefault="0025536E"/>
    <w:sectPr w:rsidR="0025536E" w:rsidSect="002553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E7"/>
    <w:multiLevelType w:val="hybridMultilevel"/>
    <w:tmpl w:val="A25E6F00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B2"/>
    <w:multiLevelType w:val="hybridMultilevel"/>
    <w:tmpl w:val="3C8E9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E6B"/>
    <w:multiLevelType w:val="hybridMultilevel"/>
    <w:tmpl w:val="294EF8D8"/>
    <w:lvl w:ilvl="0" w:tplc="68D8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5DEA"/>
    <w:multiLevelType w:val="hybridMultilevel"/>
    <w:tmpl w:val="29FAD37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55"/>
    <w:multiLevelType w:val="hybridMultilevel"/>
    <w:tmpl w:val="24F2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488C"/>
    <w:multiLevelType w:val="hybridMultilevel"/>
    <w:tmpl w:val="DC88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31FDB"/>
    <w:multiLevelType w:val="hybridMultilevel"/>
    <w:tmpl w:val="4D22677C"/>
    <w:lvl w:ilvl="0" w:tplc="68D8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8033E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426DF"/>
    <w:multiLevelType w:val="hybridMultilevel"/>
    <w:tmpl w:val="D32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972AC"/>
    <w:multiLevelType w:val="hybridMultilevel"/>
    <w:tmpl w:val="FBDA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B5414"/>
    <w:multiLevelType w:val="hybridMultilevel"/>
    <w:tmpl w:val="8C88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21C1"/>
    <w:multiLevelType w:val="hybridMultilevel"/>
    <w:tmpl w:val="591CECA0"/>
    <w:lvl w:ilvl="0" w:tplc="68D8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F6A5D"/>
    <w:multiLevelType w:val="hybridMultilevel"/>
    <w:tmpl w:val="8E56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6E"/>
    <w:rsid w:val="0025536E"/>
    <w:rsid w:val="003C22CA"/>
    <w:rsid w:val="00734E5B"/>
    <w:rsid w:val="00A458E0"/>
    <w:rsid w:val="00BA1B4D"/>
    <w:rsid w:val="00E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75FF"/>
  <w15:chartTrackingRefBased/>
  <w15:docId w15:val="{7B511E8C-F8D3-4868-B450-EFD36F7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536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536E"/>
    <w:pPr>
      <w:ind w:left="720"/>
      <w:contextualSpacing/>
    </w:pPr>
    <w:rPr>
      <w:lang w:val="en-GB"/>
    </w:rPr>
  </w:style>
  <w:style w:type="character" w:customStyle="1" w:styleId="ng-star-inserted">
    <w:name w:val="ng-star-inserted"/>
    <w:basedOn w:val="Domylnaczcionkaakapitu"/>
    <w:rsid w:val="0025536E"/>
  </w:style>
  <w:style w:type="character" w:styleId="Hipercze">
    <w:name w:val="Hyperlink"/>
    <w:uiPriority w:val="99"/>
    <w:semiHidden/>
    <w:unhideWhenUsed/>
    <w:rsid w:val="00255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app112110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2591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WNPiSM UW</cp:lastModifiedBy>
  <cp:revision>5</cp:revision>
  <dcterms:created xsi:type="dcterms:W3CDTF">2022-01-09T10:57:00Z</dcterms:created>
  <dcterms:modified xsi:type="dcterms:W3CDTF">2022-01-14T09:47:00Z</dcterms:modified>
</cp:coreProperties>
</file>