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62D73" w14:textId="163B5FEE" w:rsidR="00305215" w:rsidRDefault="00305215" w:rsidP="0030521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14:paraId="71CA925B" w14:textId="3E1C2505" w:rsidR="00305215" w:rsidRDefault="00305215" w:rsidP="0030521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2</w:t>
      </w:r>
      <w:r w:rsidR="00DA5095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.06.2022  do uchwały nr 52/2022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035D9763" w14:textId="77777777" w:rsidR="00305215" w:rsidRDefault="00305215" w:rsidP="003052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8855ADA" w14:textId="77777777" w:rsidR="00305215" w:rsidRDefault="00305215" w:rsidP="0030521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6EFB2546" w14:textId="77777777" w:rsidR="00305215" w:rsidRDefault="00305215" w:rsidP="00305215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3A0455C7" w14:textId="77777777" w:rsidR="00305215" w:rsidRDefault="00305215" w:rsidP="004C3E4E">
      <w:pPr>
        <w:pStyle w:val="Legenda"/>
        <w:keepNext/>
      </w:pPr>
      <w:bookmarkStart w:id="0" w:name="_GoBack"/>
      <w:bookmarkEnd w:id="0"/>
    </w:p>
    <w:p w14:paraId="2D44EC6F" w14:textId="17C6A067" w:rsidR="004C3E4E" w:rsidRDefault="004C3E4E" w:rsidP="004C3E4E">
      <w:pPr>
        <w:pStyle w:val="Legenda"/>
        <w:keepNext/>
      </w:pPr>
      <w:r>
        <w:t xml:space="preserve"> Stosunki międzynarodowe II stopnia</w:t>
      </w:r>
    </w:p>
    <w:tbl>
      <w:tblPr>
        <w:tblStyle w:val="Tabela-Siatka"/>
        <w:tblW w:w="14165" w:type="dxa"/>
        <w:tblLook w:val="04A0" w:firstRow="1" w:lastRow="0" w:firstColumn="1" w:lastColumn="0" w:noHBand="0" w:noVBand="1"/>
      </w:tblPr>
      <w:tblGrid>
        <w:gridCol w:w="1490"/>
        <w:gridCol w:w="9914"/>
        <w:gridCol w:w="2761"/>
      </w:tblGrid>
      <w:tr w:rsidR="00DA5095" w:rsidRPr="001102EF" w14:paraId="4EF12818" w14:textId="77777777" w:rsidTr="00DA5095">
        <w:trPr>
          <w:trHeight w:val="497"/>
        </w:trPr>
        <w:tc>
          <w:tcPr>
            <w:tcW w:w="1490" w:type="dxa"/>
            <w:vAlign w:val="bottom"/>
          </w:tcPr>
          <w:p w14:paraId="08E0DD17" w14:textId="224342E3" w:rsidR="00DA5095" w:rsidRPr="001102EF" w:rsidRDefault="00DA5095" w:rsidP="00FA5AA5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395689</w:t>
            </w:r>
          </w:p>
        </w:tc>
        <w:tc>
          <w:tcPr>
            <w:tcW w:w="9914" w:type="dxa"/>
          </w:tcPr>
          <w:p w14:paraId="4CDA73B4" w14:textId="62089224" w:rsidR="00DA5095" w:rsidRPr="001102EF" w:rsidRDefault="00DA5095" w:rsidP="00FA5AA5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Kontrowersje wokół skuteczności pomocy rozwojowej: analiza dyskusji naukowej dotyczącej pomocy rozwojowej dla Afryki w latach 1970-2000</w:t>
            </w:r>
          </w:p>
        </w:tc>
        <w:tc>
          <w:tcPr>
            <w:tcW w:w="2761" w:type="dxa"/>
          </w:tcPr>
          <w:p w14:paraId="7395A53E" w14:textId="7DDB68C2" w:rsidR="00DA5095" w:rsidRPr="001102EF" w:rsidRDefault="00DA5095" w:rsidP="00FA5AA5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1102EF">
              <w:rPr>
                <w:rFonts w:cstheme="minorHAnsi"/>
                <w:sz w:val="20"/>
                <w:szCs w:val="20"/>
              </w:rPr>
              <w:t>Wojciuk</w:t>
            </w:r>
            <w:proofErr w:type="spellEnd"/>
          </w:p>
        </w:tc>
      </w:tr>
      <w:tr w:rsidR="00DA5095" w:rsidRPr="001102EF" w14:paraId="72B497D8" w14:textId="77777777" w:rsidTr="00DA5095">
        <w:trPr>
          <w:trHeight w:val="351"/>
        </w:trPr>
        <w:tc>
          <w:tcPr>
            <w:tcW w:w="1490" w:type="dxa"/>
            <w:vAlign w:val="bottom"/>
          </w:tcPr>
          <w:p w14:paraId="149C0234" w14:textId="271FD0DE" w:rsidR="00DA5095" w:rsidRPr="001102EF" w:rsidRDefault="00DA5095" w:rsidP="00BC34A1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434986</w:t>
            </w:r>
          </w:p>
        </w:tc>
        <w:tc>
          <w:tcPr>
            <w:tcW w:w="9914" w:type="dxa"/>
          </w:tcPr>
          <w:p w14:paraId="213DCD14" w14:textId="5AE2A621" w:rsidR="00DA5095" w:rsidRPr="001102EF" w:rsidRDefault="00DA5095" w:rsidP="0044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eastAsia="Times New Roman" w:cstheme="minorHAnsi"/>
                <w:sz w:val="20"/>
                <w:szCs w:val="20"/>
              </w:rPr>
              <w:t xml:space="preserve">Rola Arabii Saudyjskiej w bezpieczeństwie energetycznym Polski </w:t>
            </w:r>
          </w:p>
        </w:tc>
        <w:tc>
          <w:tcPr>
            <w:tcW w:w="2761" w:type="dxa"/>
          </w:tcPr>
          <w:p w14:paraId="5AF13615" w14:textId="04149A32" w:rsidR="00DA5095" w:rsidRPr="001102EF" w:rsidRDefault="00DA5095" w:rsidP="00BC34A1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Rafał Ulatowski</w:t>
            </w:r>
          </w:p>
        </w:tc>
      </w:tr>
      <w:tr w:rsidR="00DA5095" w:rsidRPr="001102EF" w14:paraId="064C74C1" w14:textId="77777777" w:rsidTr="00DA5095">
        <w:trPr>
          <w:trHeight w:val="513"/>
        </w:trPr>
        <w:tc>
          <w:tcPr>
            <w:tcW w:w="1490" w:type="dxa"/>
          </w:tcPr>
          <w:p w14:paraId="15323FF8" w14:textId="52E01076" w:rsidR="00DA5095" w:rsidRPr="001102EF" w:rsidRDefault="00DA5095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375674</w:t>
            </w:r>
          </w:p>
        </w:tc>
        <w:tc>
          <w:tcPr>
            <w:tcW w:w="9914" w:type="dxa"/>
          </w:tcPr>
          <w:p w14:paraId="194B76E3" w14:textId="60D3471B" w:rsidR="00DA5095" w:rsidRPr="001102EF" w:rsidRDefault="00DA5095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Znaczenie polityki monetarnej dla budowy pozycji państwa w stosunkach międzynarodowych – </w:t>
            </w:r>
            <w:proofErr w:type="spellStart"/>
            <w:r w:rsidRPr="001102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case</w:t>
            </w:r>
            <w:proofErr w:type="spellEnd"/>
            <w:r w:rsidRPr="001102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02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study</w:t>
            </w:r>
            <w:proofErr w:type="spellEnd"/>
            <w:r w:rsidRPr="001102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Chińskiej Republiki Ludowej w latach 1990-2020</w:t>
            </w:r>
          </w:p>
        </w:tc>
        <w:tc>
          <w:tcPr>
            <w:tcW w:w="2761" w:type="dxa"/>
          </w:tcPr>
          <w:p w14:paraId="7F1C9351" w14:textId="221665A6" w:rsidR="00DA5095" w:rsidRPr="001102EF" w:rsidRDefault="00DA5095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Rafał Ulatowski</w:t>
            </w:r>
          </w:p>
        </w:tc>
      </w:tr>
      <w:tr w:rsidR="00DA5095" w:rsidRPr="001102EF" w14:paraId="304F77C6" w14:textId="77777777" w:rsidTr="00DA5095">
        <w:trPr>
          <w:trHeight w:val="248"/>
        </w:trPr>
        <w:tc>
          <w:tcPr>
            <w:tcW w:w="1490" w:type="dxa"/>
            <w:vAlign w:val="bottom"/>
          </w:tcPr>
          <w:p w14:paraId="3E27BA00" w14:textId="1F90CE24" w:rsidR="00DA5095" w:rsidRPr="001102EF" w:rsidRDefault="00DA5095" w:rsidP="005C3DD8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433825</w:t>
            </w:r>
          </w:p>
        </w:tc>
        <w:tc>
          <w:tcPr>
            <w:tcW w:w="9914" w:type="dxa"/>
          </w:tcPr>
          <w:p w14:paraId="410EEB98" w14:textId="7A228451" w:rsidR="00DA5095" w:rsidRPr="001102EF" w:rsidRDefault="00DA5095" w:rsidP="005C3DD8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Konkurencja podatkowa w Unii Europejskiej</w:t>
            </w:r>
          </w:p>
        </w:tc>
        <w:tc>
          <w:tcPr>
            <w:tcW w:w="2761" w:type="dxa"/>
          </w:tcPr>
          <w:p w14:paraId="74710EBE" w14:textId="47455350" w:rsidR="00DA5095" w:rsidRPr="001102EF" w:rsidRDefault="00DA5095" w:rsidP="005C3DD8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Rafał Ulatowski</w:t>
            </w:r>
          </w:p>
        </w:tc>
      </w:tr>
      <w:tr w:rsidR="00DA5095" w:rsidRPr="001102EF" w14:paraId="441F5ADC" w14:textId="77777777" w:rsidTr="00DA5095">
        <w:trPr>
          <w:trHeight w:val="248"/>
        </w:trPr>
        <w:tc>
          <w:tcPr>
            <w:tcW w:w="1490" w:type="dxa"/>
            <w:vAlign w:val="bottom"/>
          </w:tcPr>
          <w:p w14:paraId="73B2BE5E" w14:textId="10F9E8F8" w:rsidR="00DA5095" w:rsidRPr="001102EF" w:rsidRDefault="00DA5095" w:rsidP="005C3DD8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389571</w:t>
            </w:r>
          </w:p>
        </w:tc>
        <w:tc>
          <w:tcPr>
            <w:tcW w:w="9914" w:type="dxa"/>
            <w:vAlign w:val="bottom"/>
          </w:tcPr>
          <w:p w14:paraId="741FA0B3" w14:textId="66E35790" w:rsidR="00DA5095" w:rsidRPr="001102EF" w:rsidRDefault="00DA5095" w:rsidP="005C3DD8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 xml:space="preserve">Finansowanie partii politycznych w Polsce </w:t>
            </w:r>
          </w:p>
        </w:tc>
        <w:tc>
          <w:tcPr>
            <w:tcW w:w="2761" w:type="dxa"/>
          </w:tcPr>
          <w:p w14:paraId="7C64DA80" w14:textId="5F085DCE" w:rsidR="00DA5095" w:rsidRPr="001102EF" w:rsidRDefault="00DA5095" w:rsidP="005C3DD8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Rafał Ulatowski</w:t>
            </w:r>
          </w:p>
        </w:tc>
      </w:tr>
      <w:tr w:rsidR="00DA5095" w:rsidRPr="001102EF" w14:paraId="057E6D1F" w14:textId="77777777" w:rsidTr="00DA5095">
        <w:trPr>
          <w:trHeight w:val="248"/>
        </w:trPr>
        <w:tc>
          <w:tcPr>
            <w:tcW w:w="1490" w:type="dxa"/>
            <w:vAlign w:val="bottom"/>
          </w:tcPr>
          <w:p w14:paraId="01ED753B" w14:textId="26DFC975" w:rsidR="00DA5095" w:rsidRPr="001102EF" w:rsidRDefault="00DA5095" w:rsidP="00D17C4A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398875</w:t>
            </w:r>
          </w:p>
        </w:tc>
        <w:tc>
          <w:tcPr>
            <w:tcW w:w="9914" w:type="dxa"/>
            <w:vAlign w:val="bottom"/>
          </w:tcPr>
          <w:p w14:paraId="2CA57614" w14:textId="6A670CF7" w:rsidR="00DA5095" w:rsidRPr="001102EF" w:rsidRDefault="00DA5095" w:rsidP="00DA5095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Znaczenie ochrony klimatu w polityce handlowej Unii Europejskiej w latach 201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1102EF">
              <w:rPr>
                <w:rFonts w:cstheme="minorHAnsi"/>
                <w:sz w:val="20"/>
                <w:szCs w:val="20"/>
              </w:rPr>
              <w:t>-2021</w:t>
            </w:r>
          </w:p>
        </w:tc>
        <w:tc>
          <w:tcPr>
            <w:tcW w:w="2761" w:type="dxa"/>
          </w:tcPr>
          <w:p w14:paraId="62AF989B" w14:textId="2B7CC88F" w:rsidR="00DA5095" w:rsidRPr="001102EF" w:rsidRDefault="00DA5095" w:rsidP="00D17C4A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Rafał Ulatowski</w:t>
            </w:r>
          </w:p>
        </w:tc>
      </w:tr>
      <w:tr w:rsidR="00DA5095" w:rsidRPr="001102EF" w14:paraId="366F9C12" w14:textId="77777777" w:rsidTr="00DA5095">
        <w:trPr>
          <w:trHeight w:val="233"/>
        </w:trPr>
        <w:tc>
          <w:tcPr>
            <w:tcW w:w="1490" w:type="dxa"/>
            <w:vAlign w:val="bottom"/>
          </w:tcPr>
          <w:p w14:paraId="5E2CE692" w14:textId="2614F834" w:rsidR="00DA5095" w:rsidRPr="001102EF" w:rsidRDefault="00DA5095" w:rsidP="00D17C4A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399589</w:t>
            </w:r>
          </w:p>
        </w:tc>
        <w:tc>
          <w:tcPr>
            <w:tcW w:w="9914" w:type="dxa"/>
          </w:tcPr>
          <w:p w14:paraId="7945EE14" w14:textId="6CE7CE80" w:rsidR="00DA5095" w:rsidRPr="001102EF" w:rsidRDefault="00DA5095" w:rsidP="00D17C4A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Wpływ preferencyjnych porozumień handlowych na wielostronny system handlowy</w:t>
            </w:r>
          </w:p>
        </w:tc>
        <w:tc>
          <w:tcPr>
            <w:tcW w:w="2761" w:type="dxa"/>
          </w:tcPr>
          <w:p w14:paraId="0ACB5B06" w14:textId="0B34A430" w:rsidR="00DA5095" w:rsidRPr="001102EF" w:rsidRDefault="00DA5095" w:rsidP="00D17C4A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Rafał Ulatowski</w:t>
            </w:r>
          </w:p>
        </w:tc>
      </w:tr>
      <w:tr w:rsidR="00DA5095" w:rsidRPr="001102EF" w14:paraId="72B936E7" w14:textId="77777777" w:rsidTr="00DA5095">
        <w:trPr>
          <w:trHeight w:val="513"/>
        </w:trPr>
        <w:tc>
          <w:tcPr>
            <w:tcW w:w="1490" w:type="dxa"/>
            <w:vAlign w:val="bottom"/>
          </w:tcPr>
          <w:p w14:paraId="72C31C6D" w14:textId="622EFE6D" w:rsidR="00DA5095" w:rsidRPr="001102EF" w:rsidRDefault="00DA5095" w:rsidP="00F74675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394138</w:t>
            </w:r>
          </w:p>
        </w:tc>
        <w:tc>
          <w:tcPr>
            <w:tcW w:w="9914" w:type="dxa"/>
            <w:vAlign w:val="bottom"/>
          </w:tcPr>
          <w:p w14:paraId="4DCE21BC" w14:textId="759E2E4E" w:rsidR="00DA5095" w:rsidRPr="001102EF" w:rsidRDefault="00DA5095" w:rsidP="00F74675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Polityka zagraniczna Hiszpanii wobec Ameryki Łacińskiej na przykładzie Meksyku, Wenezueli i Argentyny od lat 20. XX w. do współczesności</w:t>
            </w:r>
          </w:p>
        </w:tc>
        <w:tc>
          <w:tcPr>
            <w:tcW w:w="2761" w:type="dxa"/>
          </w:tcPr>
          <w:p w14:paraId="77F0FA24" w14:textId="53F97D37" w:rsidR="00DA5095" w:rsidRPr="001102EF" w:rsidRDefault="00DA5095" w:rsidP="00F74675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Małgorzata Mizerska Wrotkowska</w:t>
            </w:r>
          </w:p>
        </w:tc>
      </w:tr>
      <w:tr w:rsidR="00DA5095" w:rsidRPr="001102EF" w14:paraId="101C53E7" w14:textId="77777777" w:rsidTr="00DA5095">
        <w:trPr>
          <w:trHeight w:val="248"/>
        </w:trPr>
        <w:tc>
          <w:tcPr>
            <w:tcW w:w="1490" w:type="dxa"/>
            <w:vAlign w:val="bottom"/>
          </w:tcPr>
          <w:p w14:paraId="42E15972" w14:textId="473CBC2F" w:rsidR="00DA5095" w:rsidRPr="001102EF" w:rsidRDefault="00DA5095" w:rsidP="00F74675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403008</w:t>
            </w:r>
          </w:p>
        </w:tc>
        <w:tc>
          <w:tcPr>
            <w:tcW w:w="9914" w:type="dxa"/>
            <w:vAlign w:val="bottom"/>
          </w:tcPr>
          <w:p w14:paraId="3F01B12A" w14:textId="507603D5" w:rsidR="00DA5095" w:rsidRPr="001102EF" w:rsidRDefault="00DA5095" w:rsidP="00F74675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102EF">
              <w:rPr>
                <w:rFonts w:cstheme="minorHAnsi"/>
                <w:sz w:val="20"/>
                <w:szCs w:val="20"/>
              </w:rPr>
              <w:t>Konflikt wokół Sahary Zachodniej: geneza, uwarunkowania, konsekwencje</w:t>
            </w:r>
          </w:p>
        </w:tc>
        <w:tc>
          <w:tcPr>
            <w:tcW w:w="2761" w:type="dxa"/>
            <w:vAlign w:val="bottom"/>
          </w:tcPr>
          <w:p w14:paraId="3EF67612" w14:textId="3B12579C" w:rsidR="00DA5095" w:rsidRPr="001102EF" w:rsidRDefault="00DA5095" w:rsidP="00F74675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Wiesław Lizak</w:t>
            </w:r>
          </w:p>
        </w:tc>
      </w:tr>
      <w:tr w:rsidR="00DA5095" w:rsidRPr="001102EF" w14:paraId="250BCD61" w14:textId="77777777" w:rsidTr="00DA5095">
        <w:trPr>
          <w:trHeight w:val="248"/>
        </w:trPr>
        <w:tc>
          <w:tcPr>
            <w:tcW w:w="1490" w:type="dxa"/>
            <w:vAlign w:val="bottom"/>
          </w:tcPr>
          <w:p w14:paraId="4F3CC063" w14:textId="7D5A00F0" w:rsidR="00DA5095" w:rsidRPr="001102EF" w:rsidRDefault="00DA5095" w:rsidP="002E7039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432725</w:t>
            </w:r>
          </w:p>
        </w:tc>
        <w:tc>
          <w:tcPr>
            <w:tcW w:w="9914" w:type="dxa"/>
            <w:vAlign w:val="bottom"/>
          </w:tcPr>
          <w:p w14:paraId="19CBCB07" w14:textId="427440F9" w:rsidR="00DA5095" w:rsidRPr="001102EF" w:rsidRDefault="00DA5095" w:rsidP="002E7039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Analiza modelu integracji w ramach ASEAN</w:t>
            </w:r>
          </w:p>
        </w:tc>
        <w:tc>
          <w:tcPr>
            <w:tcW w:w="2761" w:type="dxa"/>
            <w:vAlign w:val="bottom"/>
          </w:tcPr>
          <w:p w14:paraId="3A388324" w14:textId="00ED6086" w:rsidR="00DA5095" w:rsidRPr="001102EF" w:rsidRDefault="00DA5095" w:rsidP="002E7039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J. Starzyk-</w:t>
            </w:r>
            <w:proofErr w:type="spellStart"/>
            <w:r w:rsidRPr="001102EF">
              <w:rPr>
                <w:rFonts w:cstheme="minorHAnsi"/>
                <w:sz w:val="20"/>
                <w:szCs w:val="20"/>
              </w:rPr>
              <w:t>Sulejewska</w:t>
            </w:r>
            <w:proofErr w:type="spellEnd"/>
          </w:p>
        </w:tc>
      </w:tr>
      <w:tr w:rsidR="00DA5095" w:rsidRPr="001102EF" w14:paraId="070B3742" w14:textId="77777777" w:rsidTr="00DA5095">
        <w:trPr>
          <w:trHeight w:val="248"/>
        </w:trPr>
        <w:tc>
          <w:tcPr>
            <w:tcW w:w="1490" w:type="dxa"/>
            <w:vAlign w:val="bottom"/>
          </w:tcPr>
          <w:p w14:paraId="4A60A309" w14:textId="7853232C" w:rsidR="00DA5095" w:rsidRPr="001102EF" w:rsidRDefault="00DA5095" w:rsidP="002E7039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433149</w:t>
            </w:r>
          </w:p>
        </w:tc>
        <w:tc>
          <w:tcPr>
            <w:tcW w:w="9914" w:type="dxa"/>
            <w:vAlign w:val="bottom"/>
          </w:tcPr>
          <w:p w14:paraId="45336BE1" w14:textId="40B17A68" w:rsidR="00DA5095" w:rsidRPr="001102EF" w:rsidRDefault="00DA5095" w:rsidP="002E7039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Państwa dysfunkcyjne w stosunkach międzynarodowych na przykładzie Somalii</w:t>
            </w:r>
          </w:p>
        </w:tc>
        <w:tc>
          <w:tcPr>
            <w:tcW w:w="2761" w:type="dxa"/>
            <w:vAlign w:val="bottom"/>
          </w:tcPr>
          <w:p w14:paraId="60BE7E96" w14:textId="7355DAF0" w:rsidR="00DA5095" w:rsidRPr="001102EF" w:rsidRDefault="00DA5095" w:rsidP="002E7039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Wiesław Lizak</w:t>
            </w:r>
          </w:p>
        </w:tc>
      </w:tr>
      <w:tr w:rsidR="00DA5095" w:rsidRPr="001102EF" w14:paraId="4F316EF0" w14:textId="77777777" w:rsidTr="00DA5095">
        <w:trPr>
          <w:trHeight w:val="233"/>
        </w:trPr>
        <w:tc>
          <w:tcPr>
            <w:tcW w:w="1490" w:type="dxa"/>
            <w:vAlign w:val="bottom"/>
          </w:tcPr>
          <w:p w14:paraId="27B2BB41" w14:textId="00A7296E" w:rsidR="00DA5095" w:rsidRPr="001102EF" w:rsidRDefault="00DA5095" w:rsidP="00C575E0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398933</w:t>
            </w:r>
          </w:p>
        </w:tc>
        <w:tc>
          <w:tcPr>
            <w:tcW w:w="9914" w:type="dxa"/>
            <w:vAlign w:val="bottom"/>
          </w:tcPr>
          <w:p w14:paraId="2F172288" w14:textId="2094B51B" w:rsidR="00DA5095" w:rsidRPr="001102EF" w:rsidRDefault="00DA5095" w:rsidP="00C575E0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Wpływ rozłamu chińsko-sowieckiego na politykę KRL-D</w:t>
            </w:r>
          </w:p>
        </w:tc>
        <w:tc>
          <w:tcPr>
            <w:tcW w:w="2761" w:type="dxa"/>
            <w:vAlign w:val="bottom"/>
          </w:tcPr>
          <w:p w14:paraId="25948EA7" w14:textId="23DD3B91" w:rsidR="00DA5095" w:rsidRPr="001102EF" w:rsidRDefault="00DA5095" w:rsidP="00C575E0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Roman Kuźniar</w:t>
            </w:r>
          </w:p>
        </w:tc>
      </w:tr>
      <w:tr w:rsidR="00DA5095" w:rsidRPr="001102EF" w14:paraId="5719D1CB" w14:textId="77777777" w:rsidTr="00DA5095">
        <w:trPr>
          <w:trHeight w:val="513"/>
        </w:trPr>
        <w:tc>
          <w:tcPr>
            <w:tcW w:w="1490" w:type="dxa"/>
            <w:vAlign w:val="bottom"/>
          </w:tcPr>
          <w:p w14:paraId="20DA8B0D" w14:textId="7CBA735A" w:rsidR="00DA5095" w:rsidRPr="001102EF" w:rsidRDefault="00DA5095" w:rsidP="00C575E0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387234</w:t>
            </w:r>
          </w:p>
        </w:tc>
        <w:tc>
          <w:tcPr>
            <w:tcW w:w="9914" w:type="dxa"/>
            <w:vAlign w:val="bottom"/>
          </w:tcPr>
          <w:p w14:paraId="1EBFA592" w14:textId="2B57A6F5" w:rsidR="00DA5095" w:rsidRPr="001102EF" w:rsidRDefault="00DA5095" w:rsidP="00C575E0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102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Budowa wpływów Chin w Afryce, ze szczególnym uwzględnieniem Wspólnoty Wschodnioafrykańskiej w latach 2000-2017</w:t>
            </w:r>
          </w:p>
        </w:tc>
        <w:tc>
          <w:tcPr>
            <w:tcW w:w="2761" w:type="dxa"/>
            <w:vAlign w:val="bottom"/>
          </w:tcPr>
          <w:p w14:paraId="393F93E7" w14:textId="02A85013" w:rsidR="00DA5095" w:rsidRPr="001102EF" w:rsidRDefault="00DA5095" w:rsidP="00C575E0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Roman Kuźniar</w:t>
            </w:r>
          </w:p>
        </w:tc>
      </w:tr>
      <w:tr w:rsidR="00DA5095" w:rsidRPr="001102EF" w14:paraId="77D0C7F3" w14:textId="77777777" w:rsidTr="00DA5095">
        <w:trPr>
          <w:trHeight w:val="248"/>
        </w:trPr>
        <w:tc>
          <w:tcPr>
            <w:tcW w:w="1490" w:type="dxa"/>
            <w:vAlign w:val="bottom"/>
          </w:tcPr>
          <w:p w14:paraId="1A70034C" w14:textId="2434AC3A" w:rsidR="00DA5095" w:rsidRPr="001102EF" w:rsidRDefault="00DA5095" w:rsidP="00D72C9D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385482</w:t>
            </w:r>
          </w:p>
        </w:tc>
        <w:tc>
          <w:tcPr>
            <w:tcW w:w="9914" w:type="dxa"/>
            <w:vAlign w:val="bottom"/>
          </w:tcPr>
          <w:p w14:paraId="01704C6B" w14:textId="1DB957DF" w:rsidR="00DA5095" w:rsidRPr="001102EF" w:rsidRDefault="00DA5095" w:rsidP="00D72C9D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102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Technologie cyfrowe jako element potęgi mocarstw</w:t>
            </w:r>
          </w:p>
        </w:tc>
        <w:tc>
          <w:tcPr>
            <w:tcW w:w="2761" w:type="dxa"/>
            <w:vAlign w:val="bottom"/>
          </w:tcPr>
          <w:p w14:paraId="4C306648" w14:textId="36160065" w:rsidR="00DA5095" w:rsidRPr="001102EF" w:rsidRDefault="00DA5095" w:rsidP="00D72C9D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Roman Kuźniar</w:t>
            </w:r>
          </w:p>
        </w:tc>
      </w:tr>
      <w:tr w:rsidR="00DA5095" w:rsidRPr="001102EF" w14:paraId="55314E00" w14:textId="77777777" w:rsidTr="00DA5095">
        <w:trPr>
          <w:trHeight w:val="248"/>
        </w:trPr>
        <w:tc>
          <w:tcPr>
            <w:tcW w:w="1490" w:type="dxa"/>
            <w:vAlign w:val="bottom"/>
          </w:tcPr>
          <w:p w14:paraId="09297260" w14:textId="72DF494F" w:rsidR="00DA5095" w:rsidRPr="001102EF" w:rsidRDefault="00DA5095" w:rsidP="00061A67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433647</w:t>
            </w:r>
          </w:p>
        </w:tc>
        <w:tc>
          <w:tcPr>
            <w:tcW w:w="9914" w:type="dxa"/>
            <w:vAlign w:val="bottom"/>
          </w:tcPr>
          <w:p w14:paraId="6E4AB66C" w14:textId="79AC426A" w:rsidR="00DA5095" w:rsidRPr="001102EF" w:rsidRDefault="00DA5095" w:rsidP="00061A67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102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Problem uchodźców syryjskich w Turcji w latach 2015 - 2020</w:t>
            </w:r>
          </w:p>
        </w:tc>
        <w:tc>
          <w:tcPr>
            <w:tcW w:w="2761" w:type="dxa"/>
            <w:vAlign w:val="bottom"/>
          </w:tcPr>
          <w:p w14:paraId="43455095" w14:textId="47CEBB41" w:rsidR="00DA5095" w:rsidRPr="001102EF" w:rsidRDefault="00DA5095" w:rsidP="00061A67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Wiesław Lizak</w:t>
            </w:r>
          </w:p>
        </w:tc>
      </w:tr>
      <w:tr w:rsidR="00DA5095" w:rsidRPr="001102EF" w14:paraId="5614B2FE" w14:textId="77777777" w:rsidTr="00DA5095">
        <w:trPr>
          <w:trHeight w:val="497"/>
        </w:trPr>
        <w:tc>
          <w:tcPr>
            <w:tcW w:w="1490" w:type="dxa"/>
            <w:vAlign w:val="bottom"/>
          </w:tcPr>
          <w:p w14:paraId="60B33F76" w14:textId="33FB7690" w:rsidR="00DA5095" w:rsidRPr="001102EF" w:rsidRDefault="00DA5095" w:rsidP="001102EF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395927</w:t>
            </w:r>
          </w:p>
        </w:tc>
        <w:tc>
          <w:tcPr>
            <w:tcW w:w="9914" w:type="dxa"/>
            <w:vAlign w:val="bottom"/>
          </w:tcPr>
          <w:p w14:paraId="5465176C" w14:textId="0080159D" w:rsidR="00DA5095" w:rsidRPr="001102EF" w:rsidRDefault="00DA5095" w:rsidP="001102EF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102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Stosunki Stanów Zjednoczonych z Izraelem za prezydentury Baracka Obamy i Donalda </w:t>
            </w:r>
            <w:proofErr w:type="spellStart"/>
            <w:r w:rsidRPr="001102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Trumpa</w:t>
            </w:r>
            <w:proofErr w:type="spellEnd"/>
            <w:r w:rsidRPr="001102E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- analiza porównawcza</w:t>
            </w:r>
          </w:p>
        </w:tc>
        <w:tc>
          <w:tcPr>
            <w:tcW w:w="2761" w:type="dxa"/>
            <w:vAlign w:val="bottom"/>
          </w:tcPr>
          <w:p w14:paraId="45407D53" w14:textId="6E05EA7A" w:rsidR="00DA5095" w:rsidRPr="001102EF" w:rsidRDefault="00DA5095" w:rsidP="001102EF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Sylwester Gardocki</w:t>
            </w:r>
          </w:p>
        </w:tc>
      </w:tr>
      <w:tr w:rsidR="00DA5095" w:rsidRPr="001102EF" w14:paraId="2CD6DC37" w14:textId="77777777" w:rsidTr="00DA5095">
        <w:trPr>
          <w:trHeight w:val="233"/>
        </w:trPr>
        <w:tc>
          <w:tcPr>
            <w:tcW w:w="1490" w:type="dxa"/>
            <w:vAlign w:val="bottom"/>
          </w:tcPr>
          <w:p w14:paraId="204F1F74" w14:textId="50B219DF" w:rsidR="00DA5095" w:rsidRPr="001102EF" w:rsidRDefault="00DA5095" w:rsidP="001102EF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404630</w:t>
            </w:r>
          </w:p>
        </w:tc>
        <w:tc>
          <w:tcPr>
            <w:tcW w:w="9914" w:type="dxa"/>
            <w:vAlign w:val="bottom"/>
          </w:tcPr>
          <w:p w14:paraId="52F51F5D" w14:textId="0FD3B402" w:rsidR="00DA5095" w:rsidRPr="001102EF" w:rsidRDefault="00DA5095" w:rsidP="001102EF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1102E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Soft</w:t>
            </w:r>
            <w:proofErr w:type="spellEnd"/>
            <w:r w:rsidRPr="001102E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02E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power</w:t>
            </w:r>
            <w:proofErr w:type="spellEnd"/>
            <w:r w:rsidRPr="001102E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Unii Europejskiej wobec państw Partnerstwa Wschodniego</w:t>
            </w:r>
          </w:p>
        </w:tc>
        <w:tc>
          <w:tcPr>
            <w:tcW w:w="2761" w:type="dxa"/>
            <w:vAlign w:val="bottom"/>
          </w:tcPr>
          <w:p w14:paraId="20C125E1" w14:textId="0B250F10" w:rsidR="00DA5095" w:rsidRPr="001102EF" w:rsidRDefault="00DA5095" w:rsidP="001102EF">
            <w:pPr>
              <w:rPr>
                <w:rFonts w:cstheme="minorHAnsi"/>
                <w:sz w:val="20"/>
                <w:szCs w:val="20"/>
              </w:rPr>
            </w:pPr>
            <w:r w:rsidRPr="001102EF">
              <w:rPr>
                <w:rFonts w:cstheme="minorHAnsi"/>
                <w:sz w:val="20"/>
                <w:szCs w:val="20"/>
              </w:rPr>
              <w:t>Sylwester Gardocki</w:t>
            </w:r>
          </w:p>
        </w:tc>
      </w:tr>
    </w:tbl>
    <w:p w14:paraId="369C8A03" w14:textId="77777777" w:rsidR="00FA5AA5" w:rsidRDefault="00FA5AA5"/>
    <w:p w14:paraId="1DD9F8C3" w14:textId="4E291A45" w:rsidR="004C3E4E" w:rsidRDefault="004C3E4E"/>
    <w:p w14:paraId="19E1A335" w14:textId="003EEF71" w:rsidR="004C3E4E" w:rsidRPr="004C3E4E" w:rsidRDefault="004C3E4E" w:rsidP="004C3E4E"/>
    <w:p w14:paraId="09746499" w14:textId="5143EAF1" w:rsidR="004C3E4E" w:rsidRDefault="004C3E4E" w:rsidP="004C3E4E"/>
    <w:p w14:paraId="359911F5" w14:textId="4C52BC92" w:rsidR="004C3E4E" w:rsidRPr="004C3E4E" w:rsidRDefault="004C3E4E" w:rsidP="004C3E4E">
      <w:pPr>
        <w:tabs>
          <w:tab w:val="left" w:pos="1300"/>
        </w:tabs>
      </w:pPr>
      <w:r>
        <w:tab/>
      </w:r>
    </w:p>
    <w:sectPr w:rsidR="004C3E4E" w:rsidRPr="004C3E4E" w:rsidSect="004C3E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675B"/>
    <w:multiLevelType w:val="multilevel"/>
    <w:tmpl w:val="D068B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4E"/>
    <w:rsid w:val="000011AB"/>
    <w:rsid w:val="00061A67"/>
    <w:rsid w:val="000C081E"/>
    <w:rsid w:val="001102EF"/>
    <w:rsid w:val="00204BB6"/>
    <w:rsid w:val="002E7039"/>
    <w:rsid w:val="00305215"/>
    <w:rsid w:val="00346B8D"/>
    <w:rsid w:val="00441932"/>
    <w:rsid w:val="004C3E4E"/>
    <w:rsid w:val="005C3DD8"/>
    <w:rsid w:val="00B27263"/>
    <w:rsid w:val="00BC34A1"/>
    <w:rsid w:val="00C575E0"/>
    <w:rsid w:val="00D17C4A"/>
    <w:rsid w:val="00D72C9D"/>
    <w:rsid w:val="00DA5095"/>
    <w:rsid w:val="00F74675"/>
    <w:rsid w:val="00F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962E"/>
  <w15:chartTrackingRefBased/>
  <w15:docId w15:val="{993391CE-3BB4-49A8-A2BB-A91A0E13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C3E4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3</cp:revision>
  <dcterms:created xsi:type="dcterms:W3CDTF">2022-06-20T11:06:00Z</dcterms:created>
  <dcterms:modified xsi:type="dcterms:W3CDTF">2022-06-27T08:34:00Z</dcterms:modified>
</cp:coreProperties>
</file>