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B7" w:rsidRDefault="00846CB7" w:rsidP="00846CB7">
      <w:pPr>
        <w:spacing w:after="0" w:line="240" w:lineRule="auto"/>
        <w:jc w:val="right"/>
        <w:rPr>
          <w:rFonts w:ascii="Times New Roman" w:hAnsi="Times New Roman"/>
          <w:sz w:val="16"/>
          <w:szCs w:val="16"/>
        </w:rPr>
      </w:pPr>
      <w:r>
        <w:rPr>
          <w:rFonts w:ascii="Times New Roman" w:hAnsi="Times New Roman"/>
          <w:sz w:val="16"/>
          <w:szCs w:val="16"/>
        </w:rPr>
        <w:t>Załącznik nr 2</w:t>
      </w:r>
    </w:p>
    <w:p w:rsidR="00846CB7" w:rsidRDefault="00846CB7" w:rsidP="00846CB7">
      <w:pPr>
        <w:spacing w:after="0" w:line="240" w:lineRule="auto"/>
        <w:jc w:val="right"/>
        <w:rPr>
          <w:rFonts w:ascii="Times New Roman" w:hAnsi="Times New Roman"/>
          <w:sz w:val="16"/>
          <w:szCs w:val="16"/>
        </w:rPr>
      </w:pPr>
      <w:r>
        <w:rPr>
          <w:rFonts w:ascii="Times New Roman" w:hAnsi="Times New Roman"/>
          <w:sz w:val="16"/>
          <w:szCs w:val="16"/>
        </w:rPr>
        <w:t xml:space="preserve">z dnia </w:t>
      </w:r>
      <w:r w:rsidR="00817C94">
        <w:rPr>
          <w:rFonts w:ascii="Times New Roman" w:hAnsi="Times New Roman"/>
          <w:sz w:val="16"/>
          <w:szCs w:val="16"/>
        </w:rPr>
        <w:t>15/10/</w:t>
      </w:r>
      <w:r>
        <w:rPr>
          <w:rFonts w:ascii="Times New Roman" w:hAnsi="Times New Roman"/>
          <w:sz w:val="16"/>
          <w:szCs w:val="16"/>
        </w:rPr>
        <w:t>2022  do uchwały nr .</w:t>
      </w:r>
      <w:r w:rsidR="00817C94">
        <w:rPr>
          <w:rFonts w:ascii="Times New Roman" w:hAnsi="Times New Roman"/>
          <w:sz w:val="16"/>
          <w:szCs w:val="16"/>
        </w:rPr>
        <w:t>65</w:t>
      </w:r>
      <w:bookmarkStart w:id="0" w:name="_GoBack"/>
      <w:bookmarkEnd w:id="0"/>
      <w:r>
        <w:rPr>
          <w:rFonts w:ascii="Times New Roman" w:hAnsi="Times New Roman"/>
          <w:sz w:val="16"/>
          <w:szCs w:val="16"/>
        </w:rPr>
        <w:t xml:space="preserve">/2022 Rady Dydaktycznej </w:t>
      </w:r>
      <w:r>
        <w:rPr>
          <w:rFonts w:ascii="Times New Roman" w:eastAsia="Times New Roman" w:hAnsi="Times New Roman"/>
          <w:color w:val="222222"/>
          <w:sz w:val="16"/>
          <w:szCs w:val="16"/>
        </w:rPr>
        <w:t>dla kierunków</w:t>
      </w:r>
    </w:p>
    <w:p w:rsidR="00846CB7" w:rsidRDefault="00846CB7" w:rsidP="00846CB7">
      <w:pPr>
        <w:shd w:val="clear" w:color="auto" w:fill="FFFFFF"/>
        <w:spacing w:after="0" w:line="240" w:lineRule="auto"/>
        <w:jc w:val="right"/>
        <w:rPr>
          <w:rFonts w:ascii="Times New Roman" w:eastAsia="Times New Roman" w:hAnsi="Times New Roman"/>
          <w:color w:val="222222"/>
          <w:sz w:val="16"/>
          <w:szCs w:val="16"/>
        </w:rPr>
      </w:pPr>
      <w:r>
        <w:rPr>
          <w:rFonts w:ascii="Times New Roman" w:eastAsia="Times New Roman" w:hAnsi="Times New Roman"/>
          <w:color w:val="222222"/>
          <w:sz w:val="16"/>
          <w:szCs w:val="16"/>
        </w:rPr>
        <w:t xml:space="preserve">Bezpieczeństwo wewnętrzne, Europeistyka – integracja europejska, </w:t>
      </w:r>
    </w:p>
    <w:p w:rsidR="00846CB7" w:rsidRDefault="00846CB7" w:rsidP="00846CB7">
      <w:pPr>
        <w:shd w:val="clear" w:color="auto" w:fill="FFFFFF"/>
        <w:spacing w:after="0" w:line="240" w:lineRule="auto"/>
        <w:ind w:left="2832"/>
        <w:jc w:val="right"/>
        <w:rPr>
          <w:rFonts w:ascii="Times New Roman" w:eastAsia="Times New Roman" w:hAnsi="Times New Roman"/>
          <w:color w:val="222222"/>
          <w:sz w:val="16"/>
          <w:szCs w:val="16"/>
        </w:rPr>
      </w:pPr>
      <w:r>
        <w:rPr>
          <w:rFonts w:ascii="Times New Roman" w:eastAsia="Times New Roman" w:hAnsi="Times New Roman"/>
          <w:color w:val="222222"/>
          <w:sz w:val="16"/>
          <w:szCs w:val="16"/>
        </w:rPr>
        <w:t xml:space="preserve">Organizowanie rynku pracy, Politologia, Polityka społeczna, Stosunki międzynarodowe, </w:t>
      </w:r>
    </w:p>
    <w:p w:rsidR="00846CB7" w:rsidRPr="00BC694F" w:rsidRDefault="00846CB7" w:rsidP="00846CB7">
      <w:pPr>
        <w:shd w:val="clear" w:color="auto" w:fill="FFFFFF"/>
        <w:spacing w:after="0" w:line="240" w:lineRule="auto"/>
        <w:ind w:left="3540"/>
        <w:jc w:val="right"/>
        <w:rPr>
          <w:rFonts w:ascii="Times New Roman" w:eastAsia="Times New Roman" w:hAnsi="Times New Roman"/>
          <w:color w:val="222222"/>
          <w:sz w:val="16"/>
          <w:szCs w:val="16"/>
        </w:rPr>
      </w:pPr>
      <w:r>
        <w:rPr>
          <w:rFonts w:ascii="Times New Roman" w:eastAsia="Times New Roman" w:hAnsi="Times New Roman"/>
          <w:color w:val="222222"/>
          <w:sz w:val="16"/>
          <w:szCs w:val="16"/>
        </w:rPr>
        <w:t>Studia euroazjatyckie</w:t>
      </w:r>
    </w:p>
    <w:p w:rsidR="00846CB7" w:rsidRDefault="00846CB7" w:rsidP="00846CB7">
      <w:pPr>
        <w:tabs>
          <w:tab w:val="left" w:pos="1134"/>
        </w:tabs>
        <w:spacing w:before="120" w:after="120" w:line="240" w:lineRule="auto"/>
        <w:ind w:right="505"/>
        <w:rPr>
          <w:rFonts w:ascii="Arial" w:eastAsia="Arial" w:hAnsi="Arial" w:cs="Arial"/>
          <w:b/>
          <w:color w:val="000000"/>
          <w:sz w:val="20"/>
          <w:szCs w:val="20"/>
        </w:rPr>
      </w:pPr>
    </w:p>
    <w:p w:rsidR="00846CB7" w:rsidRDefault="00846CB7" w:rsidP="00846CB7">
      <w:pPr>
        <w:tabs>
          <w:tab w:val="left" w:pos="1134"/>
        </w:tabs>
        <w:spacing w:before="120" w:after="120" w:line="240" w:lineRule="auto"/>
        <w:ind w:right="505"/>
        <w:jc w:val="center"/>
        <w:rPr>
          <w:rFonts w:ascii="Arial" w:eastAsia="Arial" w:hAnsi="Arial" w:cs="Arial"/>
          <w:b/>
          <w:color w:val="000000"/>
          <w:sz w:val="20"/>
          <w:szCs w:val="20"/>
        </w:rPr>
      </w:pPr>
    </w:p>
    <w:p w:rsidR="00846CB7" w:rsidRDefault="00846CB7" w:rsidP="00846CB7">
      <w:pPr>
        <w:tabs>
          <w:tab w:val="left" w:pos="1134"/>
        </w:tabs>
        <w:spacing w:before="120" w:after="120" w:line="240" w:lineRule="auto"/>
        <w:ind w:right="505"/>
        <w:jc w:val="center"/>
        <w:rPr>
          <w:rFonts w:ascii="Arial" w:eastAsia="Arial" w:hAnsi="Arial" w:cs="Arial"/>
          <w:b/>
          <w:color w:val="000000"/>
          <w:sz w:val="20"/>
          <w:szCs w:val="20"/>
        </w:rPr>
      </w:pPr>
      <w:r>
        <w:rPr>
          <w:rFonts w:ascii="Arial" w:eastAsia="Arial" w:hAnsi="Arial" w:cs="Arial"/>
          <w:b/>
          <w:color w:val="000000"/>
          <w:sz w:val="20"/>
          <w:szCs w:val="20"/>
        </w:rPr>
        <w:t>NAUCZYCIELE AKADEMICCY UNIWERSYTETU WARSZAWSKIEGO PRZEWIDYWANI DO KSZTAŁCENIA NA PROJEKTOWANYM KIERUNKU STUDIÓW</w:t>
      </w:r>
    </w:p>
    <w:p w:rsidR="00846CB7" w:rsidRDefault="00846CB7" w:rsidP="00846CB7">
      <w:pPr>
        <w:tabs>
          <w:tab w:val="left" w:pos="1134"/>
        </w:tabs>
        <w:spacing w:before="120" w:after="0" w:line="240" w:lineRule="auto"/>
        <w:ind w:right="503"/>
        <w:jc w:val="center"/>
        <w:rPr>
          <w:rFonts w:ascii="Arial" w:eastAsia="Arial" w:hAnsi="Arial" w:cs="Arial"/>
          <w:b/>
          <w:color w:val="000000"/>
          <w:sz w:val="20"/>
          <w:szCs w:val="20"/>
        </w:rPr>
      </w:pPr>
      <w:r>
        <w:rPr>
          <w:rFonts w:ascii="Arial" w:eastAsia="Arial" w:hAnsi="Arial" w:cs="Arial"/>
          <w:b/>
          <w:color w:val="000000"/>
          <w:sz w:val="20"/>
          <w:szCs w:val="20"/>
        </w:rPr>
        <w:t>CYBERBEZPIECZEŃSTWO</w:t>
      </w:r>
    </w:p>
    <w:p w:rsidR="00846CB7" w:rsidRDefault="00846CB7" w:rsidP="00846CB7">
      <w:pPr>
        <w:tabs>
          <w:tab w:val="left" w:pos="1134"/>
        </w:tabs>
        <w:spacing w:before="120" w:after="0" w:line="240" w:lineRule="auto"/>
        <w:ind w:right="503"/>
        <w:jc w:val="center"/>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sidRPr="009A2474">
              <w:rPr>
                <w:rFonts w:ascii="Arial" w:eastAsia="Arial" w:hAnsi="Arial" w:cs="Arial"/>
                <w:b/>
                <w:color w:val="000000"/>
                <w:sz w:val="20"/>
                <w:szCs w:val="20"/>
              </w:rPr>
              <w:t>prof. dr hab. Stanisław Sulowski</w:t>
            </w:r>
          </w:p>
        </w:tc>
      </w:tr>
      <w:tr w:rsidR="00846CB7" w:rsidTr="00762B46">
        <w:tc>
          <w:tcPr>
            <w:tcW w:w="9167" w:type="dxa"/>
          </w:tcPr>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w:t>
            </w:r>
            <w:r w:rsidRPr="009A2474">
              <w:rPr>
                <w:rFonts w:ascii="Arial" w:eastAsia="Arial" w:hAnsi="Arial" w:cs="Arial"/>
                <w:color w:val="000000"/>
                <w:sz w:val="20"/>
                <w:szCs w:val="20"/>
              </w:rPr>
              <w:t>rofesor zwyczajny (2018). Dziekan Wydziału Nauk Politycznych i Studiów Międzynarodowych w latach 2016-2020. Politolog, absolwent Instytutu Nauk Politycznych UW (1975). Profesor Uniwersytetu Warszawskiego, do 2016 r. dyrektor Instytutu Nauk Politycznych Uniwersytetu Warszawskiego. Od 2010 roku kieruje Ośrodkiem Analiz Politologicznych UW. Redaktor naczelny kwartalnika Studia Politologiczne, redaktor serii wydawniczej w Peter Lang Verlag: Studies in Politics, Security and Society. Członek Komitetu Nauk Politycznych Polskiej Akademii Nauk. Konsul RP w Niemczech w latach 1991-1995. Członek Rady Programowej Center Francais de Berlin w Berlinie. Współzałożyciel Red Hispano Polca de Investigación Científica.</w:t>
            </w: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sidRPr="009A2474">
              <w:rPr>
                <w:rFonts w:ascii="Arial" w:eastAsia="Arial" w:hAnsi="Arial" w:cs="Arial"/>
                <w:color w:val="000000"/>
                <w:sz w:val="20"/>
                <w:szCs w:val="20"/>
              </w:rPr>
              <w:t>Administracja publiczna, ustrój polityczno-administracyjny Niemiec, teoria państwa, polityka zagraniczna, nauki o bezpieczeństwie.</w:t>
            </w:r>
          </w:p>
        </w:tc>
      </w:tr>
      <w:tr w:rsidR="00846CB7" w:rsidRPr="00817C94" w:rsidTr="00762B46">
        <w:tc>
          <w:tcPr>
            <w:tcW w:w="9167" w:type="dxa"/>
          </w:tcPr>
          <w:p w:rsidR="00846CB7" w:rsidRDefault="00846CB7" w:rsidP="00762B46">
            <w:pPr>
              <w:tabs>
                <w:tab w:val="left" w:pos="720"/>
              </w:tabs>
              <w:ind w:right="503"/>
              <w:jc w:val="both"/>
              <w:rPr>
                <w:rFonts w:ascii="Arial" w:eastAsia="Arial" w:hAnsi="Arial" w:cs="Arial"/>
                <w:color w:val="000000"/>
                <w:sz w:val="20"/>
                <w:szCs w:val="20"/>
              </w:rPr>
            </w:pPr>
          </w:p>
          <w:p w:rsidR="00846CB7" w:rsidRPr="009D1E04" w:rsidRDefault="00846CB7" w:rsidP="00762B46">
            <w:pPr>
              <w:tabs>
                <w:tab w:val="left" w:pos="720"/>
              </w:tabs>
              <w:ind w:right="503"/>
              <w:jc w:val="both"/>
              <w:rPr>
                <w:rFonts w:ascii="Arial" w:eastAsia="Arial" w:hAnsi="Arial" w:cs="Arial"/>
                <w:b/>
                <w:bCs/>
                <w:color w:val="000000"/>
                <w:sz w:val="20"/>
                <w:szCs w:val="20"/>
              </w:rPr>
            </w:pPr>
            <w:r w:rsidRPr="009D1E04">
              <w:rPr>
                <w:rFonts w:ascii="Arial" w:eastAsia="Arial" w:hAnsi="Arial" w:cs="Arial"/>
                <w:b/>
                <w:bCs/>
                <w:color w:val="000000"/>
                <w:sz w:val="20"/>
                <w:szCs w:val="20"/>
              </w:rPr>
              <w:t>Ostatnie publikacje:</w:t>
            </w:r>
          </w:p>
          <w:p w:rsidR="00846CB7" w:rsidRPr="00FB402F" w:rsidRDefault="00846CB7" w:rsidP="00762B46">
            <w:pPr>
              <w:tabs>
                <w:tab w:val="left" w:pos="720"/>
              </w:tabs>
              <w:ind w:left="720" w:right="503"/>
              <w:jc w:val="both"/>
              <w:rPr>
                <w:rFonts w:ascii="Arial" w:eastAsia="Arial" w:hAnsi="Arial" w:cs="Arial"/>
                <w:color w:val="000000"/>
                <w:sz w:val="20"/>
                <w:szCs w:val="20"/>
              </w:rPr>
            </w:pPr>
          </w:p>
          <w:p w:rsidR="00846CB7" w:rsidRPr="00846CB7" w:rsidRDefault="00846CB7" w:rsidP="00762B46">
            <w:pPr>
              <w:pStyle w:val="Akapitzlist"/>
              <w:numPr>
                <w:ilvl w:val="0"/>
                <w:numId w:val="86"/>
              </w:numPr>
              <w:tabs>
                <w:tab w:val="left" w:pos="720"/>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Andrzej Misiuk , Stanislaw Sulowski , Janusz Gierszewski , Andrzej Urbanek, The Role of Territorial Self-Government in Ensuring Personal Security of Citizens in Poland, European Research Studies Journal, Volume XXIII.</w:t>
            </w:r>
          </w:p>
          <w:p w:rsidR="00846CB7" w:rsidRDefault="00846CB7" w:rsidP="00762B46">
            <w:pPr>
              <w:pStyle w:val="Akapitzlist"/>
              <w:numPr>
                <w:ilvl w:val="0"/>
                <w:numId w:val="86"/>
              </w:numPr>
              <w:tabs>
                <w:tab w:val="left" w:pos="720"/>
              </w:tabs>
              <w:spacing w:after="0" w:line="240" w:lineRule="auto"/>
              <w:ind w:right="503"/>
              <w:jc w:val="both"/>
              <w:rPr>
                <w:rFonts w:ascii="Arial" w:eastAsia="Arial" w:hAnsi="Arial" w:cs="Arial"/>
                <w:color w:val="000000"/>
                <w:sz w:val="20"/>
                <w:szCs w:val="20"/>
              </w:rPr>
            </w:pPr>
            <w:r w:rsidRPr="00FB402F">
              <w:rPr>
                <w:rFonts w:ascii="Arial" w:eastAsia="Arial" w:hAnsi="Arial" w:cs="Arial"/>
                <w:color w:val="000000"/>
                <w:sz w:val="20"/>
                <w:szCs w:val="20"/>
              </w:rPr>
              <w:t>S. Sulowski (red.), Nauki o polityce 2.0. Kontrowersje i konfrontacje, Warszawa, 2018.</w:t>
            </w:r>
          </w:p>
          <w:p w:rsidR="00846CB7" w:rsidRPr="00FB402F" w:rsidRDefault="00846CB7" w:rsidP="00762B46">
            <w:pPr>
              <w:pStyle w:val="Akapitzlist"/>
              <w:numPr>
                <w:ilvl w:val="0"/>
                <w:numId w:val="86"/>
              </w:numPr>
              <w:tabs>
                <w:tab w:val="left" w:pos="720"/>
              </w:tabs>
              <w:spacing w:after="0" w:line="240" w:lineRule="auto"/>
              <w:ind w:right="503"/>
              <w:jc w:val="both"/>
              <w:rPr>
                <w:rFonts w:ascii="Arial" w:eastAsia="Arial" w:hAnsi="Arial" w:cs="Arial"/>
                <w:color w:val="000000"/>
                <w:sz w:val="20"/>
                <w:szCs w:val="20"/>
              </w:rPr>
            </w:pPr>
            <w:r w:rsidRPr="00FB402F">
              <w:rPr>
                <w:rFonts w:ascii="Arial" w:eastAsia="Arial" w:hAnsi="Arial" w:cs="Arial"/>
                <w:color w:val="000000"/>
                <w:sz w:val="20"/>
                <w:szCs w:val="20"/>
              </w:rPr>
              <w:t>S. Sulowski, Wolność i bezpieczeństwo w kontekście walki z terroryzmem, “e-Politikon”, 2016 nr 20, s. 8-24.</w:t>
            </w:r>
          </w:p>
          <w:p w:rsidR="00846CB7" w:rsidRPr="009D1E04" w:rsidRDefault="00846CB7" w:rsidP="00762B46">
            <w:pPr>
              <w:pStyle w:val="Akapitzlist"/>
              <w:numPr>
                <w:ilvl w:val="0"/>
                <w:numId w:val="86"/>
              </w:numPr>
              <w:tabs>
                <w:tab w:val="left" w:pos="720"/>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S. Sulowski (red.), Polen heute. Geschichte. </w:t>
            </w:r>
            <w:r w:rsidRPr="009D1E04">
              <w:rPr>
                <w:rFonts w:ascii="Arial" w:eastAsia="Arial" w:hAnsi="Arial" w:cs="Arial"/>
                <w:color w:val="000000"/>
                <w:sz w:val="20"/>
                <w:szCs w:val="20"/>
              </w:rPr>
              <w:t>Politik. Gesellschaft, Warszawa, 2009.</w:t>
            </w:r>
          </w:p>
          <w:p w:rsidR="00846CB7" w:rsidRPr="00846CB7" w:rsidRDefault="00846CB7" w:rsidP="00762B46">
            <w:pPr>
              <w:pStyle w:val="Akapitzlist"/>
              <w:numPr>
                <w:ilvl w:val="0"/>
                <w:numId w:val="86"/>
              </w:numPr>
              <w:tabs>
                <w:tab w:val="left" w:pos="720"/>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S. Sulowski (red.), The Political System of Poland, Warszawa, 2007.</w:t>
            </w:r>
          </w:p>
          <w:p w:rsidR="00846CB7" w:rsidRPr="00846CB7" w:rsidRDefault="00846CB7" w:rsidP="00762B46">
            <w:pPr>
              <w:pStyle w:val="Akapitzlist"/>
              <w:tabs>
                <w:tab w:val="left" w:pos="720"/>
              </w:tabs>
              <w:ind w:left="360" w:right="503"/>
              <w:jc w:val="both"/>
              <w:rPr>
                <w:rFonts w:ascii="Arial" w:eastAsia="Arial" w:hAnsi="Arial" w:cs="Arial"/>
                <w:color w:val="000000"/>
                <w:sz w:val="20"/>
                <w:szCs w:val="20"/>
                <w:lang w:val="en-US"/>
              </w:rPr>
            </w:pPr>
          </w:p>
        </w:tc>
      </w:tr>
    </w:tbl>
    <w:p w:rsidR="00846CB7" w:rsidRPr="00846CB7" w:rsidRDefault="00846CB7" w:rsidP="00846CB7">
      <w:pPr>
        <w:tabs>
          <w:tab w:val="left" w:pos="1134"/>
        </w:tabs>
        <w:spacing w:before="120" w:after="0" w:line="240" w:lineRule="auto"/>
        <w:ind w:right="503"/>
        <w:jc w:val="both"/>
        <w:rPr>
          <w:rFonts w:ascii="Arial" w:eastAsia="Arial" w:hAnsi="Arial" w:cs="Arial"/>
          <w:color w:val="000000"/>
          <w:sz w:val="20"/>
          <w:szCs w:val="20"/>
          <w:lang w:val="en-US"/>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sidRPr="00A31EE5">
              <w:rPr>
                <w:rFonts w:ascii="Arial" w:eastAsia="Arial" w:hAnsi="Arial" w:cs="Arial"/>
                <w:b/>
                <w:color w:val="000000"/>
                <w:sz w:val="20"/>
                <w:szCs w:val="20"/>
              </w:rPr>
              <w:t>prof. dr hab. Andrzej Misiuk</w:t>
            </w:r>
          </w:p>
        </w:tc>
      </w:tr>
      <w:tr w:rsidR="00846CB7" w:rsidTr="00762B46">
        <w:tc>
          <w:tcPr>
            <w:tcW w:w="9167" w:type="dxa"/>
          </w:tcPr>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P</w:t>
            </w:r>
            <w:r w:rsidRPr="005E49C9">
              <w:rPr>
                <w:rFonts w:ascii="Arial" w:eastAsia="Arial" w:hAnsi="Arial" w:cs="Arial"/>
                <w:color w:val="000000"/>
                <w:sz w:val="20"/>
                <w:szCs w:val="20"/>
              </w:rPr>
              <w:t>rofesor nauk humanistycznych, polski historyk, specjalizujący się w historii administracji i historii prawa, zajmuje się też problematyką bezpieczeństwa wewnętrznego, wykładowca Wydziału Nauk Politycznych i Studiów Międzynarodowych Uniwersytetu Warszawskiego, doktor honoris causa Uniwersytetu Humanistyczno-Przyrodniczego w Siedlcach.</w:t>
            </w:r>
          </w:p>
          <w:p w:rsidR="00846CB7" w:rsidRPr="005E49C9"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sidRPr="005E49C9">
              <w:rPr>
                <w:rFonts w:ascii="Arial" w:eastAsia="Arial" w:hAnsi="Arial" w:cs="Arial"/>
                <w:color w:val="000000"/>
                <w:sz w:val="20"/>
                <w:szCs w:val="20"/>
              </w:rPr>
              <w:t>Ukończył studia na Uniwersytecie Mikołaja Kopernika w Toruniu. W 1988 roku uzyskał stopień doktora na UMK w Toruniu. Przedmiotem rozprawy doktorskiej była organizacja i działalność Policji Państwowej w okresie międzywojennym. Była to pierwsza próba zapełniania tzw. „białej plamy” w najnowszej historii Polski. Kolejny etap rozwoju naukowego wyznaczyło uzyskanie stopnia doktora habilitowanego nauk humanistycznych w zakresie historii w 1996 roku, również na UMK, na podstawie rozprawy Służby specjalne w II Rzeczypospolitej 1918–1939. W 2008 roku otrzymał tytuł profesora nauk humanistycznych. Od początku swojej kariery naukowej przez wiele lat związany z Wyższą Szkołą Policji w Szczytnie. Od 1997 roku jest związany z uczelniami olsztyńskimi, początkowo Wyższą Szkołą Pedagogiczną, następnie UWM, gdzie pełnił m.in. funkcję prodziekana na Wydziale Prawa i Administracji. Od 2008 roku jest zatrudniony w Wydziale Nauk Politycznych i Studiów Międzynarodowych Uniwersytetu Warszawskiego. Pełni funkcję kierownika Katedry Bezpieczeństwa Wewnętrznego.</w:t>
            </w:r>
          </w:p>
          <w:p w:rsidR="00846CB7" w:rsidRPr="005E49C9"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sidRPr="005E49C9">
              <w:rPr>
                <w:rFonts w:ascii="Arial" w:eastAsia="Arial" w:hAnsi="Arial" w:cs="Arial"/>
                <w:color w:val="000000"/>
                <w:sz w:val="20"/>
                <w:szCs w:val="20"/>
              </w:rPr>
              <w:t>Od 1990 roku członek komitetu redakcyjnego „Przeglądu Policyjnego”, zaś od 2011 roku „Internal Security”. Członek Światowego Stowarzyszenia Szefów Policji z siedzibą w Nowym Jorku (od 2000 roku). Był inicjatorem prac nad utworzeniem kierunku studiów wyższych – bezpieczeństwo wewnętrznej (2005 rok) oraz nowej dyscypliny naukowej – nauk bezpieczeństwie (2010 rok). Od 2016 roku był członkiem Centralnej Komisji ds. Stopni i Tytułów przy Prezesie Rady Ministrów. W jej ramach w sekcji nauk społecznych i humanistycznych reprezentuje dyscyplinę naukową – nauki o bezpieczeństwie. Ekspert Akademickiej Komisji Akredytacyjnej w zakresie kierunków kształcenia: bezpieczeństwo narodowe i wewnętrzne (od 2012 roku</w:t>
            </w:r>
            <w:r>
              <w:rPr>
                <w:rFonts w:ascii="Arial" w:eastAsia="Arial" w:hAnsi="Arial" w:cs="Arial"/>
                <w:color w:val="000000"/>
                <w:sz w:val="20"/>
                <w:szCs w:val="20"/>
              </w:rPr>
              <w:t>).</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Zainteresowania badawcze</w:t>
            </w:r>
          </w:p>
        </w:tc>
      </w:tr>
      <w:tr w:rsidR="00846CB7" w:rsidTr="00762B46">
        <w:tc>
          <w:tcPr>
            <w:tcW w:w="9167" w:type="dxa"/>
          </w:tcPr>
          <w:p w:rsidR="00846CB7" w:rsidRPr="005E49C9" w:rsidRDefault="00846CB7" w:rsidP="00762B46">
            <w:pPr>
              <w:tabs>
                <w:tab w:val="left" w:pos="1134"/>
              </w:tabs>
              <w:spacing w:before="120"/>
              <w:ind w:right="503"/>
              <w:jc w:val="both"/>
              <w:rPr>
                <w:rFonts w:ascii="Arial" w:eastAsia="Arial" w:hAnsi="Arial" w:cs="Arial"/>
                <w:color w:val="000000"/>
                <w:sz w:val="20"/>
                <w:szCs w:val="20"/>
              </w:rPr>
            </w:pPr>
            <w:r w:rsidRPr="005E49C9">
              <w:rPr>
                <w:rFonts w:ascii="Arial" w:eastAsia="Arial" w:hAnsi="Arial" w:cs="Arial"/>
                <w:color w:val="000000"/>
                <w:sz w:val="20"/>
                <w:szCs w:val="20"/>
              </w:rPr>
              <w:t>Przedmiotem jego zainteresowań naukowych jest problematyka szeroko pojętego bezpieczeństwa, zwłaszcza dzieje instytucji policyjnych i służb specjalnych w Polsce oraz systemy bezpieczeństwa wewnętrznego w wymiarze krajowym i europejskim. Zainicjował jeszcze w 1989 roku i przez wiele lat kontynuował badania naukowe dotyczące przedwojennej policji. Utworzył Zakład Historii Policji w Wyższej Szkole Policji, gdzie w latach 1990-2007 pełnił funkcję dyrektora Instytutu. Jest też autorem pierwszej pełnej monografii historii służb specjalnych II RP. Brał udział w międzynarodowym zespole historyków, który przygotował dzieje policji Europy okresu międzywojennego, które ukazały się w Londynie w 2006 roku nakładem renomowanego wydawnictwa Palgrave Macmillan. Ponadto brał czynny udział w pracach organizacji społecznych starających się upamiętnić tragiczny los Polaków w Rosji sowieckiej po 1939 roku – przede wszystkim przedwojennych policjantów. Uczestniczył w pracach mających na celu identyfikację ofiar zbrodni sowieckiej w Twerze w 1940 roku prowadzonych przez Ośrodek „Karta” w ramach Indeksu Represjonowanych oraz opracował inskrypcje cmentarne na zlecenie Rady Ochrony Pamięci Walk i Męczeństwa. Za dokonania w tym obszarze został przez Kapitułę Honorowego Medalionu Pamięci Pieta Miednoje 1940 rok uhonorowany tym medalionem w 2004 roku.</w:t>
            </w:r>
          </w:p>
          <w:p w:rsidR="00846CB7" w:rsidRPr="005E49C9" w:rsidRDefault="00846CB7" w:rsidP="00762B46">
            <w:pPr>
              <w:tabs>
                <w:tab w:val="left" w:pos="1134"/>
              </w:tabs>
              <w:spacing w:before="120"/>
              <w:ind w:right="503"/>
              <w:jc w:val="both"/>
              <w:rPr>
                <w:rFonts w:ascii="Arial" w:eastAsia="Arial" w:hAnsi="Arial" w:cs="Arial"/>
                <w:color w:val="000000"/>
                <w:sz w:val="20"/>
                <w:szCs w:val="20"/>
              </w:rPr>
            </w:pPr>
            <w:r w:rsidRPr="005E49C9">
              <w:rPr>
                <w:rFonts w:ascii="Arial" w:eastAsia="Arial" w:hAnsi="Arial" w:cs="Arial"/>
                <w:color w:val="000000"/>
                <w:sz w:val="20"/>
                <w:szCs w:val="20"/>
              </w:rPr>
              <w:t xml:space="preserve">Pełnił funkcję kierownika polskiej części projektu, który zainicjowały w 1994 roku Wyższa Szkoła Policji w Szczytnie wspólnie z Polizeifuhrungsakademie w Munster-Hiltrup (Niemcy) oraz Akademią Policji Litwy w Wilnie. Były to badania naukowe na temat oceny policji przez społeczeństwa w krajach postkomunistycznych (badania porównawcze w Polsce, Litwie i wschodnich landach Niemiec). Projekt badawczy był finansowany przez Fundację Współpracy Polsko-Niemieckiej. Ponadto autor raportu dot. „Wpływu reformy administracyjnej państwa na działalność Policji”. Autor nowatorskiego projektu kształcenia i doskonalenia kadr kierowniczych Policji, w którego ramach zrealizowano wspólnie z policją holenderską szkolenie komendantów wojewódzkich, ponadto przeszkolono w oparciu o autorski program wszystkich komendantów powiatowych i komisariatów Policji. W oparciu o przygotowany projekt w 2002 roku Minister Spraw Wewnętrznych i Administracji zatwierdził i polecił wdrożyć do realizacji program kształcenia kandydatów na stanowiska kierownicze Policji w formie studiów podyplomowych </w:t>
            </w:r>
            <w:r w:rsidRPr="005E49C9">
              <w:rPr>
                <w:rFonts w:ascii="Arial" w:eastAsia="Arial" w:hAnsi="Arial" w:cs="Arial"/>
                <w:color w:val="000000"/>
                <w:sz w:val="20"/>
                <w:szCs w:val="20"/>
              </w:rPr>
              <w:lastRenderedPageBreak/>
              <w:t>„Studium Zarządzania” w WSPol w Szczytnie. Również Przewodniczący Krajowego Komitetu Ekspertów ds. Bezpieczeństwa EURO 2012 (2009-2012). Koordynator zespołu ewaluatorów ćwiczenia zgrywającego podmiot systemu zarządzania kryzysowego przed rozgrywkami UEFA EURO 2012 pk. „Libero” realizowane przez Rządowe Centrum Bezpieczeństwa (2010-2011).</w:t>
            </w:r>
          </w:p>
          <w:p w:rsidR="00846CB7" w:rsidRDefault="00846CB7" w:rsidP="00762B46">
            <w:pPr>
              <w:tabs>
                <w:tab w:val="left" w:pos="1134"/>
              </w:tabs>
              <w:spacing w:before="120"/>
              <w:ind w:right="503"/>
              <w:jc w:val="both"/>
              <w:rPr>
                <w:rFonts w:ascii="Arial" w:eastAsia="Arial" w:hAnsi="Arial" w:cs="Arial"/>
                <w:color w:val="000000"/>
                <w:sz w:val="20"/>
                <w:szCs w:val="20"/>
              </w:rPr>
            </w:pPr>
            <w:r w:rsidRPr="005E49C9">
              <w:rPr>
                <w:rFonts w:ascii="Arial" w:eastAsia="Arial" w:hAnsi="Arial" w:cs="Arial"/>
                <w:color w:val="000000"/>
                <w:sz w:val="20"/>
                <w:szCs w:val="20"/>
              </w:rPr>
              <w:t>Promowanie kadr naukowych: promotor dziesięciu prac doktorskich (otworzone dwa przewody doktorskie), autor dwunastu recenzji habilitacyjnej i 23 doktorskich, przewodniczący 19 komisji habilitacyjnych, opiniodawca dwóch wniosków profesorskich, opiniodawca CK dwóch wniosków uczelnianych o uprawnienia doktorskie w zakresie dyscypliny naukowej – nauki o bezpieczeństwie.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Osiągnięcia naukowe i doświadczenie dydaktyczne</w:t>
            </w:r>
          </w:p>
        </w:tc>
      </w:tr>
      <w:tr w:rsidR="00846CB7" w:rsidTr="00762B46">
        <w:tc>
          <w:tcPr>
            <w:tcW w:w="9167" w:type="dxa"/>
          </w:tcPr>
          <w:p w:rsidR="00846CB7" w:rsidRPr="005E49C9" w:rsidRDefault="00846CB7" w:rsidP="00762B46">
            <w:pPr>
              <w:tabs>
                <w:tab w:val="left" w:pos="1134"/>
              </w:tabs>
              <w:spacing w:before="120"/>
              <w:ind w:right="503"/>
              <w:jc w:val="both"/>
              <w:rPr>
                <w:rFonts w:ascii="Arial" w:eastAsia="Arial" w:hAnsi="Arial" w:cs="Arial"/>
                <w:bCs/>
                <w:color w:val="000000"/>
                <w:sz w:val="20"/>
                <w:szCs w:val="20"/>
              </w:rPr>
            </w:pPr>
            <w:r w:rsidRPr="005E49C9">
              <w:rPr>
                <w:rFonts w:ascii="Arial" w:eastAsia="Arial" w:hAnsi="Arial" w:cs="Arial"/>
                <w:bCs/>
                <w:color w:val="000000"/>
                <w:sz w:val="20"/>
                <w:szCs w:val="20"/>
              </w:rPr>
              <w:t>Opublikował 56 pozycji książkowych, 7 wydawnictw źródłowych, 177 artykułów i przyczynków naukowych, 6 publikacji popularnonaukowych oraz siedem recenzji, które ukazały się zarówno w krajowym jak i zagranicznym czasopiśmiennictwie (w Niemczech, Litwie i Francji, Wielkiej Brytanii, Rumunii, Rosji, Hiszpanii).</w:t>
            </w:r>
          </w:p>
          <w:p w:rsidR="00846CB7" w:rsidRDefault="00846CB7" w:rsidP="00762B46">
            <w:pPr>
              <w:tabs>
                <w:tab w:val="left" w:pos="1134"/>
              </w:tabs>
              <w:spacing w:before="120"/>
              <w:ind w:right="503"/>
              <w:jc w:val="both"/>
              <w:rPr>
                <w:rFonts w:ascii="Arial" w:eastAsia="Arial" w:hAnsi="Arial" w:cs="Arial"/>
                <w:b/>
                <w:color w:val="000000"/>
                <w:sz w:val="20"/>
                <w:szCs w:val="20"/>
              </w:rPr>
            </w:pPr>
            <w:r w:rsidRPr="005E49C9">
              <w:rPr>
                <w:rFonts w:ascii="Arial" w:eastAsia="Arial" w:hAnsi="Arial" w:cs="Arial"/>
                <w:bCs/>
                <w:color w:val="000000"/>
                <w:sz w:val="20"/>
                <w:szCs w:val="20"/>
              </w:rPr>
              <w:t>W 2004 otrzymał Medalion Pieta Miednoje 1940, przyznany przez Warszawskie Stowarzyszenie Rodzina Policyjna 1939 roku.</w:t>
            </w:r>
          </w:p>
        </w:tc>
      </w:tr>
      <w:tr w:rsidR="00846CB7" w:rsidTr="00762B46">
        <w:tc>
          <w:tcPr>
            <w:tcW w:w="9167" w:type="dxa"/>
          </w:tcPr>
          <w:p w:rsidR="00846CB7" w:rsidRDefault="00846CB7" w:rsidP="00762B46">
            <w:pPr>
              <w:tabs>
                <w:tab w:val="left" w:pos="720"/>
              </w:tabs>
              <w:ind w:right="503"/>
              <w:jc w:val="both"/>
              <w:rPr>
                <w:rFonts w:ascii="Arial" w:eastAsia="Arial" w:hAnsi="Arial" w:cs="Arial"/>
                <w:color w:val="000000"/>
                <w:sz w:val="20"/>
                <w:szCs w:val="20"/>
              </w:rPr>
            </w:pPr>
          </w:p>
          <w:p w:rsidR="00846CB7" w:rsidRDefault="00846CB7" w:rsidP="00762B46">
            <w:pPr>
              <w:tabs>
                <w:tab w:val="left" w:pos="720"/>
              </w:tabs>
              <w:ind w:right="503"/>
              <w:jc w:val="both"/>
              <w:rPr>
                <w:rFonts w:ascii="Arial" w:eastAsia="Arial" w:hAnsi="Arial" w:cs="Arial"/>
                <w:b/>
                <w:bCs/>
                <w:color w:val="000000"/>
                <w:sz w:val="20"/>
                <w:szCs w:val="20"/>
              </w:rPr>
            </w:pPr>
            <w:r>
              <w:rPr>
                <w:rFonts w:ascii="Arial" w:eastAsia="Arial" w:hAnsi="Arial" w:cs="Arial"/>
                <w:b/>
                <w:bCs/>
                <w:color w:val="000000"/>
                <w:sz w:val="20"/>
                <w:szCs w:val="20"/>
              </w:rPr>
              <w:t>O</w:t>
            </w:r>
            <w:r w:rsidRPr="009D1E04">
              <w:rPr>
                <w:rFonts w:ascii="Arial" w:eastAsia="Arial" w:hAnsi="Arial" w:cs="Arial"/>
                <w:b/>
                <w:bCs/>
                <w:color w:val="000000"/>
                <w:sz w:val="20"/>
                <w:szCs w:val="20"/>
              </w:rPr>
              <w:t>statnie publikacje:</w:t>
            </w:r>
          </w:p>
          <w:p w:rsidR="00846CB7" w:rsidRDefault="00846CB7" w:rsidP="00762B46">
            <w:pPr>
              <w:tabs>
                <w:tab w:val="left" w:pos="720"/>
              </w:tabs>
              <w:ind w:right="503"/>
              <w:jc w:val="both"/>
              <w:rPr>
                <w:rFonts w:ascii="Arial" w:eastAsia="Arial" w:hAnsi="Arial" w:cs="Arial"/>
                <w:b/>
                <w:bCs/>
                <w:color w:val="000000"/>
                <w:sz w:val="20"/>
                <w:szCs w:val="20"/>
              </w:rPr>
            </w:pPr>
          </w:p>
          <w:p w:rsidR="00846CB7" w:rsidRPr="00562ED2" w:rsidRDefault="00846CB7" w:rsidP="00762B46">
            <w:pPr>
              <w:pStyle w:val="Akapitzlist"/>
              <w:numPr>
                <w:ilvl w:val="0"/>
                <w:numId w:val="87"/>
              </w:numPr>
              <w:tabs>
                <w:tab w:val="left" w:pos="720"/>
              </w:tabs>
              <w:spacing w:after="0" w:line="240" w:lineRule="auto"/>
              <w:ind w:right="503"/>
              <w:jc w:val="both"/>
              <w:rPr>
                <w:rFonts w:ascii="Arial" w:eastAsia="Arial" w:hAnsi="Arial" w:cs="Arial"/>
                <w:color w:val="000000"/>
                <w:sz w:val="20"/>
                <w:szCs w:val="20"/>
              </w:rPr>
            </w:pPr>
            <w:r w:rsidRPr="00562ED2">
              <w:rPr>
                <w:rFonts w:ascii="Arial" w:eastAsia="Arial" w:hAnsi="Arial" w:cs="Arial"/>
                <w:color w:val="000000"/>
                <w:sz w:val="20"/>
                <w:szCs w:val="20"/>
              </w:rPr>
              <w:t>Misiuk, Służby wywiadu i kontrwywiadu II Rzeczypospolitej, Warszawa, 2016.</w:t>
            </w:r>
          </w:p>
          <w:p w:rsidR="00846CB7" w:rsidRPr="00562ED2" w:rsidRDefault="00846CB7" w:rsidP="00762B46">
            <w:pPr>
              <w:pStyle w:val="Akapitzlist"/>
              <w:numPr>
                <w:ilvl w:val="0"/>
                <w:numId w:val="87"/>
              </w:numPr>
              <w:tabs>
                <w:tab w:val="left" w:pos="720"/>
              </w:tabs>
              <w:spacing w:after="0" w:line="240" w:lineRule="auto"/>
              <w:ind w:right="503"/>
              <w:jc w:val="both"/>
              <w:rPr>
                <w:rFonts w:ascii="Arial" w:eastAsia="Arial" w:hAnsi="Arial" w:cs="Arial"/>
                <w:color w:val="000000"/>
                <w:sz w:val="20"/>
                <w:szCs w:val="20"/>
              </w:rPr>
            </w:pPr>
            <w:r w:rsidRPr="00562ED2">
              <w:rPr>
                <w:rFonts w:ascii="Arial" w:eastAsia="Arial" w:hAnsi="Arial" w:cs="Arial"/>
                <w:color w:val="000000"/>
                <w:sz w:val="20"/>
                <w:szCs w:val="20"/>
              </w:rPr>
              <w:t>Misiuk, Zarys ustroju administracji spraw wewnętrznych w Polsce. Przemiany prawno-organizacyjne od połowy XVIII wieku do współczesności, Warszawa, 2018.</w:t>
            </w:r>
          </w:p>
          <w:p w:rsidR="00846CB7" w:rsidRPr="00562ED2" w:rsidRDefault="00846CB7" w:rsidP="00762B46">
            <w:pPr>
              <w:pStyle w:val="Akapitzlist"/>
              <w:numPr>
                <w:ilvl w:val="0"/>
                <w:numId w:val="87"/>
              </w:numPr>
              <w:tabs>
                <w:tab w:val="left" w:pos="720"/>
              </w:tabs>
              <w:spacing w:after="0" w:line="240" w:lineRule="auto"/>
              <w:ind w:right="503"/>
              <w:jc w:val="both"/>
              <w:rPr>
                <w:rFonts w:ascii="Arial" w:eastAsia="Arial" w:hAnsi="Arial" w:cs="Arial"/>
                <w:color w:val="000000"/>
                <w:sz w:val="20"/>
                <w:szCs w:val="20"/>
              </w:rPr>
            </w:pPr>
            <w:r w:rsidRPr="00562ED2">
              <w:rPr>
                <w:rFonts w:ascii="Arial" w:eastAsia="Arial" w:hAnsi="Arial" w:cs="Arial"/>
                <w:color w:val="000000"/>
                <w:sz w:val="20"/>
                <w:szCs w:val="20"/>
              </w:rPr>
              <w:t>Misiuk, M. Jurgilewicz, A. Babiński, Bezpieczeństwo wewnętrzne państwa. Wybrane problemy teorii i praktyki, Szczytno, 2018.</w:t>
            </w:r>
          </w:p>
          <w:p w:rsidR="00846CB7" w:rsidRPr="009A77C9" w:rsidRDefault="00846CB7" w:rsidP="00762B46">
            <w:pPr>
              <w:pStyle w:val="Akapitzlist"/>
              <w:tabs>
                <w:tab w:val="left" w:pos="720"/>
              </w:tabs>
              <w:ind w:left="360" w:right="503"/>
              <w:jc w:val="both"/>
              <w:rPr>
                <w:rFonts w:ascii="Arial" w:eastAsia="Arial" w:hAnsi="Arial" w:cs="Arial"/>
                <w:color w:val="000000"/>
                <w:sz w:val="20"/>
                <w:szCs w:val="20"/>
              </w:rPr>
            </w:pPr>
          </w:p>
        </w:tc>
      </w:tr>
    </w:tbl>
    <w:p w:rsidR="00846CB7" w:rsidRDefault="00846CB7" w:rsidP="00846CB7">
      <w:pPr>
        <w:tabs>
          <w:tab w:val="left" w:pos="1134"/>
        </w:tabs>
        <w:spacing w:before="120" w:after="0" w:line="240" w:lineRule="auto"/>
        <w:ind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bookmarkStart w:id="1" w:name="_heading=h.gjdgxs" w:colFirst="0" w:colLast="0"/>
            <w:bookmarkEnd w:id="1"/>
            <w:r>
              <w:rPr>
                <w:rFonts w:ascii="Arial" w:eastAsia="Arial" w:hAnsi="Arial" w:cs="Arial"/>
                <w:b/>
                <w:color w:val="000000"/>
                <w:sz w:val="20"/>
                <w:szCs w:val="20"/>
              </w:rPr>
              <w:t>dr hab. inż. Wiesław Cetera, prof. Ucz.</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Absolwent Wydziału Cybernetyki WAT, doktor nauk ekonomicznych w zakresie zarządzania (WZ UW), doktor habilitowany w zakresie nauk o mediach i komunikacji, pracownik naukowo-dydaktyczny Wydziału Nauk Politycznych i Studiów Międzynarodowych Uniwersytetu Warszawskiego. Założyciel i redaktor naczelny jednego z pierwszych czasopism informatycznych.  Dziennikarz, menedżer przedsiębiorstw w sektorze poligraficznym.</w:t>
            </w: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Wykorzystanie dużych zasobów danych w analityce społecznej.</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Tr="00762B46">
        <w:tc>
          <w:tcPr>
            <w:tcW w:w="9167" w:type="dxa"/>
          </w:tcPr>
          <w:p w:rsidR="00846CB7" w:rsidRDefault="00846CB7" w:rsidP="00762B46">
            <w:pPr>
              <w:tabs>
                <w:tab w:val="left" w:pos="1134"/>
              </w:tabs>
              <w:spacing w:before="120"/>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Monografie</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lastRenderedPageBreak/>
              <w:t>Leasing – kapitał wysokiego ryzyka. Stowarzyszenie Fair Bussines. ss. 186.  Warszawa 2008. ISBN 978-83-921491-5-6</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Skazani na wyobraźnię. Zachowania innowacyjne małych i średnich przedsiębiorstw poligraficznych w świetle badań empirycznych 2000-2010. Promocja XXI. Warszawa 2010. ss.222. ISBN 978-83-62763-00-09</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Przedsiębiorczość poligraficzna – statystyka sektora 2000-2006. Promocja XXI. Warszawa 2008. ss. 192. ISBN 978-83-921491-4-9</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Poligrafia – wymiana handlowa 2000-2007. Promocja XXI. Warszawa 2009. ISBN 978083-921491-7-0</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IKS – Informatyka, Komputery, Systemy. 1986-1989. Studium przypadku. SFB, ID UW. Warszawa 2016, ss.228. ISBN 978-83-94496-1-6</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 xml:space="preserve">Przedsiębiorczość poligraficzna Polsce 1989-2014. SFB, ID UW. Warszawa 2016, ss.200.di. SFB. WDIiB Warszawa 2016. ISBN 978-83-944096-2-3 </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Logistyka mediów. Poligrafia. SFB. WDIiB Warszawa 2017. ss 220. ISBN 978-83-944096-4-7</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Poligrafia w okresie pandemii. Zapaść i reanimacja polskiego sektora poligraficznego. 2020. MNK Kielce. 168 ss. ISBN 978-83-62068-71-5</w:t>
            </w:r>
          </w:p>
          <w:p w:rsidR="00846CB7" w:rsidRDefault="00846CB7" w:rsidP="00762B46">
            <w:pPr>
              <w:numPr>
                <w:ilvl w:val="0"/>
                <w:numId w:val="25"/>
              </w:numPr>
              <w:tabs>
                <w:tab w:val="left" w:pos="1134"/>
              </w:tabs>
              <w:spacing w:after="0" w:line="240" w:lineRule="auto"/>
              <w:ind w:right="503"/>
              <w:rPr>
                <w:rFonts w:ascii="Arial" w:eastAsia="Arial" w:hAnsi="Arial" w:cs="Arial"/>
                <w:color w:val="000000"/>
                <w:sz w:val="20"/>
                <w:szCs w:val="20"/>
              </w:rPr>
            </w:pPr>
            <w:r w:rsidRPr="00846CB7">
              <w:rPr>
                <w:rFonts w:ascii="Arial" w:eastAsia="Arial" w:hAnsi="Arial" w:cs="Arial"/>
                <w:color w:val="000000"/>
                <w:sz w:val="20"/>
                <w:szCs w:val="20"/>
                <w:lang w:val="en-US"/>
              </w:rPr>
              <w:t xml:space="preserve">Polish printing -   progress, pandemic, prospects. </w:t>
            </w:r>
            <w:r>
              <w:rPr>
                <w:rFonts w:ascii="Arial" w:eastAsia="Arial" w:hAnsi="Arial" w:cs="Arial"/>
                <w:color w:val="000000"/>
                <w:sz w:val="20"/>
                <w:szCs w:val="20"/>
              </w:rPr>
              <w:t>2020. MNK Kielce.   ss. 200 ISBN 978-83-62068-83-8</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rPr>
                <w:rFonts w:ascii="Arial" w:eastAsia="Arial" w:hAnsi="Arial" w:cs="Arial"/>
                <w:b/>
                <w:color w:val="000000"/>
                <w:sz w:val="20"/>
                <w:szCs w:val="20"/>
              </w:rPr>
            </w:pPr>
            <w:r>
              <w:rPr>
                <w:rFonts w:ascii="Arial" w:eastAsia="Arial" w:hAnsi="Arial" w:cs="Arial"/>
                <w:b/>
                <w:color w:val="000000"/>
                <w:sz w:val="20"/>
                <w:szCs w:val="20"/>
              </w:rPr>
              <w:t>Artykuły</w:t>
            </w:r>
          </w:p>
          <w:p w:rsidR="00846CB7" w:rsidRDefault="00846CB7" w:rsidP="00762B46">
            <w:pPr>
              <w:tabs>
                <w:tab w:val="left" w:pos="1134"/>
              </w:tabs>
              <w:ind w:right="503" w:firstLine="22"/>
              <w:rPr>
                <w:rFonts w:ascii="Arial" w:eastAsia="Arial" w:hAnsi="Arial" w:cs="Arial"/>
                <w:b/>
                <w:color w:val="000000"/>
                <w:sz w:val="20"/>
                <w:szCs w:val="20"/>
              </w:rPr>
            </w:pP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 xml:space="preserve">Rozwój przemysłu poligraficznego w Polsce. „Ekonomika i Organizacja Przedsiębiorstwa”. 2007(2), s. 58 - 63. </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Leasing kapitał wysokiego ryzyka, „Zeszyty Naukowe Uniwersytetu Szczecińskiego, Ekonomiczne Problemy Usług”, Nr 13, Szczecin, 2008.strony</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 xml:space="preserve">Sprawozdanie z konferencji SUMMIT 2014, Rochester 15-16 października 2014. [w] Studia Medioznawcze, 2014/4, s.170-174, </w:t>
            </w:r>
          </w:p>
          <w:p w:rsidR="00846CB7" w:rsidRP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lang w:val="en-US"/>
              </w:rPr>
            </w:pPr>
            <w:r w:rsidRPr="00846CB7">
              <w:rPr>
                <w:rFonts w:ascii="Arial" w:eastAsia="Arial" w:hAnsi="Arial" w:cs="Arial"/>
                <w:color w:val="000000"/>
                <w:sz w:val="20"/>
                <w:szCs w:val="20"/>
                <w:lang w:val="en-US"/>
              </w:rPr>
              <w:t>Polish Printing in Transition. [w] Economics and Organization of Enterprise, 2015/ 2(781), s. 90-103,</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sidRPr="00846CB7">
              <w:rPr>
                <w:rFonts w:ascii="Arial" w:eastAsia="Arial" w:hAnsi="Arial" w:cs="Arial"/>
                <w:color w:val="000000"/>
                <w:sz w:val="20"/>
                <w:szCs w:val="20"/>
                <w:lang w:val="en-US"/>
              </w:rPr>
              <w:t xml:space="preserve">Polish printing in the transition period. </w:t>
            </w:r>
            <w:r>
              <w:rPr>
                <w:rFonts w:ascii="Arial" w:eastAsia="Arial" w:hAnsi="Arial" w:cs="Arial"/>
                <w:color w:val="000000"/>
                <w:sz w:val="20"/>
                <w:szCs w:val="20"/>
              </w:rPr>
              <w:t>[w] Studia Medioznawcze, 2015/3, s.170-174,</w:t>
            </w:r>
          </w:p>
          <w:p w:rsidR="00846CB7" w:rsidRP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lang w:val="en-US"/>
              </w:rPr>
            </w:pPr>
            <w:r w:rsidRPr="00846CB7">
              <w:rPr>
                <w:rFonts w:ascii="Arial" w:eastAsia="Arial" w:hAnsi="Arial" w:cs="Arial"/>
                <w:color w:val="000000"/>
                <w:sz w:val="20"/>
                <w:szCs w:val="20"/>
                <w:lang w:val="en-US"/>
              </w:rPr>
              <w:t>TV licence fee or the mission – a step towards economic. . [w] Economics and Organization of Enterprise, 2015/ 11, s. 110-121,</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Logistyka Mediów [w] Ekonomika i organizacja przedsiębiorstwa. [w] EiOP 2016/2, s. 26-35,</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sidRPr="00846CB7">
              <w:rPr>
                <w:rFonts w:ascii="Arial" w:eastAsia="Arial" w:hAnsi="Arial" w:cs="Arial"/>
                <w:color w:val="000000"/>
                <w:sz w:val="20"/>
                <w:szCs w:val="20"/>
                <w:lang w:val="en-US"/>
              </w:rPr>
              <w:t xml:space="preserve">The effectiveness of innovations in the Polish printing industry. </w:t>
            </w:r>
            <w:r>
              <w:rPr>
                <w:rFonts w:ascii="Arial" w:eastAsia="Arial" w:hAnsi="Arial" w:cs="Arial"/>
                <w:color w:val="000000"/>
                <w:sz w:val="20"/>
                <w:szCs w:val="20"/>
              </w:rPr>
              <w:t>[w] EiOP 2016/7, s.19-30.</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Sprawozdanie z Konferencji Logistyka Mediów 2016 [współautor: Agata Opolska-Bielańska], Studia Medioznawcze.</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sidRPr="00846CB7">
              <w:rPr>
                <w:rFonts w:ascii="Arial" w:eastAsia="Arial" w:hAnsi="Arial" w:cs="Arial"/>
                <w:color w:val="000000"/>
                <w:sz w:val="20"/>
                <w:szCs w:val="20"/>
                <w:lang w:val="en-US"/>
              </w:rPr>
              <w:t xml:space="preserve">The Polish printing industry after 1945: with a case-study of the Buszczyński printing house. </w:t>
            </w:r>
            <w:r>
              <w:rPr>
                <w:rFonts w:ascii="Arial" w:eastAsia="Arial" w:hAnsi="Arial" w:cs="Arial"/>
                <w:color w:val="000000"/>
                <w:sz w:val="20"/>
                <w:szCs w:val="20"/>
              </w:rPr>
              <w:t>Journal of the Printing Historical Society, t 29. c. 71-83</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Kondycja sektora poligraficznego – produkcja opakowań. Opakowania (2019)</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Fleksografia w okresie pandemii. Opakowanie 2020/6, s. 66-60, 10.15199/42.2020.6.1</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Poligrafia w czasie pandemii. Zarządzanie Mediami 2021/01. doi: 10.4467/23540214ZM.21.011.13058</w:t>
            </w:r>
          </w:p>
          <w:p w:rsidR="00846CB7" w:rsidRDefault="00846CB7" w:rsidP="00762B46">
            <w:pPr>
              <w:numPr>
                <w:ilvl w:val="0"/>
                <w:numId w:val="1"/>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Porównanie właściwości laminatów z warstwą metalizowaną. Opakowanie 11/2021 (Svitlana Khadzhinova, Wiesław Cetera, Jacek Hamerliński)</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Artykuły w wydawnictwach zbiorowych</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Innowacyjność małych i średnich przedsiębiorstw w okresie transformacji polskiej gospodarki. [w] A.H. Jasiński [red.]: Innowacje małych i średnich przedsiębiorstw w świetle badań empirycznych. Promocja XXI. Warszawa 2008, s. 90-110. </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Leasing kapitał wysokiego ryzyka, „Zeszyty Naukowe Uniwersytetu Szczecińskiego, Ekonomiczne Problemy Usług”, Nr 13, Szczecin, 2008.</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Innowacje w małych i średnich przedsiębiorstwach poligraficznych w świetle badań empirycznych. [w] A.H. Jasiński [red.]: Innowacje małych i średnich przedsiębiorstw w świetle badań empirycznych. Promocja XXI. Warszawa 2008, s. 111-153. </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Zagrożenia dla małych i średnich przedsiębiorstw w okresie transformacji na przykładzie sektora poligraficznego. [w] M. Lisiecki [red.]: Zarządzanie bezpieczeństwem – wyzwania XXI wieku. Wydawnictwo Wyższej Szkoły Zarządzania i Prawa im. H. Chodkowskiej. Warszawa 2008, s. 481-500. </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The availability of Internet services for people with disabilities.  </w:t>
            </w:r>
            <w:r>
              <w:rPr>
                <w:rFonts w:ascii="Arial" w:eastAsia="Arial" w:hAnsi="Arial" w:cs="Arial"/>
                <w:color w:val="000000"/>
                <w:sz w:val="20"/>
                <w:szCs w:val="20"/>
              </w:rPr>
              <w:t>XVII Międzynarodowa Konferencja Naukowo-Techniczna „Ergonomia Niepełnosprawnym – integracja społeczna i zawodowa”. Łódź 2015,</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Prasa informatyczna dla młodzieży 1986-1989. IKS – Informatyka, Komputery, Systemy – studium przypadku. HIGH-TECH za Żelazna Kurtyną, elektronika, komputery, i systemy sterowania w PRL. Katowice 23-24.09.2015.</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Logistyka i mediów – tożsamość dyscypliny. Logistyka i administrowanie w mediach – aspekty teoretyczne i aplikatywne, tożsamość – cyfryzacja – poligrafia. W. Cetera, A. Opolska-Bielańska [red.] WDiNP UW, Warszawa 2016</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Koniunktura w sektorze poligraficznym badanie ankietowe. [w] Rynek poligraficzny i opakowań z nadrukiem w Polsce. Edycja VII. KPMG, Polskie Bractwo Kawalerów Gutenberga, Wydział Dziennikarstwa Informacji i Bibliologii.  Warszawa 2018. s.29-69</w:t>
            </w:r>
          </w:p>
          <w:p w:rsidR="00846CB7" w:rsidRDefault="00846CB7" w:rsidP="00762B46">
            <w:pPr>
              <w:numPr>
                <w:ilvl w:val="0"/>
                <w:numId w:val="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Gdzie jest autor? teoretyczne i aplikatywne. 2021. MNK Kielce. 220 ss. ISBN 978-83-62068-82-1   s.173-189</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Współautorstwo artykułów w wydawnictwach zbiorowych</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numPr>
                <w:ilvl w:val="0"/>
                <w:numId w:val="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Dynamika zmian w sektorze poligraficznym. B. Ziewiec, J. Grzegorek, M. Suskiewicz [w] Logistyka i administrowanie w mediach – aspekty teoretyczne i aplikatywne.  W. Cetera, K. Kowalik [red]. WDiNP UW, Warszawa 2015.</w:t>
            </w:r>
          </w:p>
          <w:p w:rsidR="00846CB7" w:rsidRDefault="00846CB7" w:rsidP="00762B46">
            <w:pPr>
              <w:numPr>
                <w:ilvl w:val="0"/>
                <w:numId w:val="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Widownia TV – prognoza. W. Cetera, J. Grzegorek, [w:] Logistyka i administrowanie w mediach. Aspekty teoretyczne i aplikatywne. Nowe media - informacja – fonetyzacja. W. Cetera, A. Opolska-Bielańska [red] WDIiB, Warszawa 2018. </w:t>
            </w:r>
          </w:p>
          <w:p w:rsidR="00846CB7" w:rsidRDefault="00846CB7" w:rsidP="00762B46">
            <w:pPr>
              <w:numPr>
                <w:ilvl w:val="0"/>
                <w:numId w:val="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Sieć vs niepełnosprawni. W. Cetera, J. Grzegorek. [w] Ergonomia Niepełnosprawnym. Interakcyjne projektowanie ergonomicznie stanowisk pracy, przestrzeni użytkowych, przepływu informacji i produktu, [red] A. Polak-Sopińska, J. Lewandowski, M. Wróbel-Lachowska. Monografie Politechniki Łódzkiej. Łódź 2017.</w:t>
            </w:r>
          </w:p>
          <w:p w:rsidR="00846CB7" w:rsidRDefault="00846CB7" w:rsidP="00762B46">
            <w:pPr>
              <w:numPr>
                <w:ilvl w:val="0"/>
                <w:numId w:val="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Identyfikacja innowacji za pomocą analizy big data. W. Cetera, W. Gogołek. [w] Innowacyjność polskiej gospodarki: wybrane aspekty. [red] K. Opolski, J. Górski. Wydział Nauk Ekonomicznych UW, Warszawa 2018. s. 93-105.</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Sprawozdanie  z badań</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numPr>
                <w:ilvl w:val="0"/>
                <w:numId w:val="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Koniunktura w sektorze poligraficznym. Ośrodek Badań i Analiz SFB, Warszawa 2013, ss. 16.</w:t>
            </w:r>
          </w:p>
          <w:p w:rsidR="00846CB7" w:rsidRDefault="00846CB7" w:rsidP="00762B46">
            <w:pPr>
              <w:numPr>
                <w:ilvl w:val="0"/>
                <w:numId w:val="9"/>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The Economic Situation In the polish Printing Industry in the years 2012-2013. </w:t>
            </w:r>
            <w:r>
              <w:rPr>
                <w:rFonts w:ascii="Arial" w:eastAsia="Arial" w:hAnsi="Arial" w:cs="Arial"/>
                <w:color w:val="000000"/>
                <w:sz w:val="20"/>
                <w:szCs w:val="20"/>
              </w:rPr>
              <w:t>Centre for Research and Analysis. SFB Warszawa 2013, ss 20.</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Leksykony tematyczne</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numPr>
                <w:ilvl w:val="0"/>
                <w:numId w:val="1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Expert – kompendium rzeczoznawcy [red.]. Ośrodek Badań i Analiz SIMP, Warszawa 2011, ss. 280. ISBN 978-83-62763-04-7</w:t>
            </w:r>
          </w:p>
          <w:p w:rsidR="00846CB7" w:rsidRDefault="00846CB7" w:rsidP="00762B46">
            <w:pPr>
              <w:numPr>
                <w:ilvl w:val="0"/>
                <w:numId w:val="1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Leksykon tematyczny. Zarządzanie, IT. W. Gogołek, W. Cetera. WDiNP UW. Warszawa 2014, ss. 246. ISBN 978-83-63183-58-5</w:t>
            </w: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w:t>
            </w: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lastRenderedPageBreak/>
              <w:t>Redakcja prac zbiorowych:</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numPr>
                <w:ilvl w:val="0"/>
                <w:numId w:val="1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Logistyka i administrowanie w mediach – aspekty teoretyczne i aplikatywne.  W. Cetera, K. Kowalik [red]. WDiNP UW, Warszawa 2015.</w:t>
            </w:r>
          </w:p>
          <w:p w:rsidR="00846CB7" w:rsidRDefault="00846CB7" w:rsidP="00762B46">
            <w:pPr>
              <w:numPr>
                <w:ilvl w:val="0"/>
                <w:numId w:val="1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Logistyka i administrowanie w mediach – aspekty teoretyczne i aplikatywne, tożsamość – cyfryzacja – poligrafia. W. Cetera, A. Opolska-Bielańska [red.] WDiNP UW, Warszawa 2016</w:t>
            </w:r>
          </w:p>
          <w:p w:rsidR="00846CB7" w:rsidRDefault="00846CB7" w:rsidP="00762B46">
            <w:pPr>
              <w:numPr>
                <w:ilvl w:val="0"/>
                <w:numId w:val="1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Logistyka i administrowanie w mediach. Aspekty teoretyczne i aplikatywne. Nowe media - informacja – monetyzacja. W. Cetera, A. Opolska-Bielańska [red.] WDiNP UW, Warszawa 2017</w:t>
            </w:r>
          </w:p>
          <w:p w:rsidR="00846CB7" w:rsidRDefault="00846CB7" w:rsidP="00762B46">
            <w:pPr>
              <w:numPr>
                <w:ilvl w:val="0"/>
                <w:numId w:val="1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Rynek poligraficzny i opakowań z nadrukiem w Polsce. Edycja VII. KPMG, Polskie Bractwo Kawalerów Gutenberga, Wydział Dziennikarstwa Informacji i Bibliologii.  Warszawa 2018 (red. I. Malanowska, J. Kuśmierczyk, J. Malczewski, K. Krzyżanowski, W. Cetera)</w:t>
            </w:r>
          </w:p>
          <w:p w:rsidR="00846CB7" w:rsidRDefault="00846CB7" w:rsidP="00762B46">
            <w:pPr>
              <w:numPr>
                <w:ilvl w:val="0"/>
                <w:numId w:val="1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Big data rafinacja informacji – medycyna – ekonomia – media. Aspekty teoretyczne i aplikatywne. 2021. MNK Kielce. 220 ss. ISBN 978-83-62068-82-1   </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Publikacje popularno-naukowe:</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Lepiej to wiedzieć - pułapki leasingu, [w] Świat Druku, 2007/4, s. 82-84.</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Poligrafia w liczbach wg GUS, [w] Poligrafika, 2006/07, s. 22-23.</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Dlaczego upadły? [w] Poligrafika, 2006/07, s. 34-35.</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Czego boją się drukarze? [w] Poligrafika 2006/08, s. 56-57.</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Innowacje w małych i średnich przedsiębiorstwach poligraficznych, [w] Poligrafika 2006/10, s. 64-66.</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Pieniądze na inwestycje, [w] Poligrafika, 2006/12, s. 62-63.</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IT w przedsiębiorstwach poligraficznych, [w:] Poligrafika, 2007/1, s. 72-73.</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Ryzykowne inwestycje, [w] Świat Druku, 2007/01, s.72-73.</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Leasing w przedsiębiorstwach poligraficznych, [w:] Świat Druku, 2007/01, s. 64-66.</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Jak reklamuje się branża, [w] Poligrafika, 2007/02, s. 58-59.</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Innowacje w przedsiębiorstwach poligraficznych, [w] Świat Druku, 2007/06, s. 86-88.</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Rynek poligraficzny, [w] Poligrafika, 2007/06, s. 32-36.</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Rynek drukarń cyfrowych w USA, [w] Świat Druku, 2007/7-8, s. 72-73.</w:t>
            </w:r>
          </w:p>
          <w:p w:rsidR="00846CB7" w:rsidRP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Polish printing initiatives, [w] Świat Druku, 2008/05, s. 88.  </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Finansowanie inwestycji w sektorze poligraficznym, [w:] Poligrafika, 2010/06, s. 20-22.</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Słabe wsparcie bliskiej perspektywy, [w] Poligrafika, 2010/5, s. 14-15.</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Czy kryzys coś zmieni? [w] Poligrafika, 2010/4, s. 14-15.</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Reperkusje światowego kryzysu, [w] Poligrafika, 2009/12, s. 20-21.</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Kryzys czy presja zmian? [w] Poligrafika, 2010/1, s. 14-16.</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Sektor poligraficzny – raport ekonomiczny 2008. Wyd. Ośrodek Badań i Analiz SIMP, Warszawa 2011.</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Koniunktura w sektorze poligraficznym. [w] Świat Druku, 2012/04, s. 74-76.</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Koniunktura w sektorze poligraficznym. [w] Świat Druku, 2012/12, s. 27.</w:t>
            </w:r>
          </w:p>
          <w:p w:rsidR="00846CB7" w:rsidRP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Great Changes in the Printing Industry. [w] The World of Printing, 2013, s.17.</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Sytuacja w sektorze poligraficznym. [w] Świat Druku, 2013/10, s. 70-72. </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Ewolucja mediów, ewolucja druku. SUMMIT 2014. [w] Świat Druku, 2014/12, s.19-21.</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Transformacja na rynku mediów. [w] Świat Druku, 2015/1, s. 19-22,</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25 lat transformacji sektora poligraficznego (Polish Printing In Transition). Świat Druku 4/2015, s19-25.</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Dynamika zmian w sektorze poligraficznym. [w] Świat Druku, 2015/5</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Logistyka i administrowanie w mediach. [w] Świat Druku, 2015/11</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Logistyka i zarządzanie w mediach. III Ogólnopolska Konferencja Naukowa. [w] Świat Druku, 2016/12</w:t>
            </w:r>
          </w:p>
          <w:p w:rsidR="00846CB7" w:rsidRP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Changes, Changes, Changes…[w] Świat Druku, 2018/Jubilee Edition s. 7-8</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Sektor poligraficzny – metryka ekonomiczna cz. 1. [w:] Świat Druku. 2019/3, s. 82-83</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Sektor poligraficzny – metryka ekonomiczna cz. 2. [w:] Świat Druku. 2019/5, s. 60-2</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Sektor poligraficzny – metryka ekonomiczna cz. 3 [w] Świat Druku. 2019/10, s 76-78</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Poligrafia w stanie pandemii. [w] Poligrafika 2020/6, s. 14-18</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Czy tylko wirus?[w] Świat Druku 2020/9, s. 77-79</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The Day after. Co po COVID-19. </w:t>
            </w:r>
            <w:r>
              <w:rPr>
                <w:rFonts w:ascii="Arial" w:eastAsia="Arial" w:hAnsi="Arial" w:cs="Arial"/>
                <w:color w:val="000000"/>
                <w:sz w:val="20"/>
                <w:szCs w:val="20"/>
              </w:rPr>
              <w:t>Cz. 1. Świat   Druku  2021/1 s. 58-60.</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The Day after. Co po COVID-19. </w:t>
            </w:r>
            <w:r>
              <w:rPr>
                <w:rFonts w:ascii="Arial" w:eastAsia="Arial" w:hAnsi="Arial" w:cs="Arial"/>
                <w:color w:val="000000"/>
                <w:sz w:val="20"/>
                <w:szCs w:val="20"/>
              </w:rPr>
              <w:t>Cz. 2. Świat   Druku  2021/2 s. 58-60.</w:t>
            </w:r>
          </w:p>
          <w:p w:rsidR="00846CB7" w:rsidRDefault="00846CB7" w:rsidP="00762B46">
            <w:pPr>
              <w:numPr>
                <w:ilvl w:val="0"/>
                <w:numId w:val="5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Czy to koniec prasy drukowanej? Świat Druku 2021/5 s. 82-85</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W latach 1986-1989 autor ponad 200 materiałów publicystyczno-naukowych i publicystycznych na łamach czasopism poświęconych informatyce.</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Konferencje</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Przewodniczący Komitetu Organizacyjnego Pierwszej Międzynarodowej Konferencji Poligraficznej, (16-18 listopad 2011 r.),  </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Sekretarz Rady Naukowej Pierwszej Międzynarodowej Konferencji Poligraficznej, (16-18 listopad 2011 r.),  </w:t>
            </w:r>
          </w:p>
          <w:p w:rsidR="00846CB7" w:rsidRP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Konferencja Summit 2014, RIT, Rochester 2014: Transformation of the Polish printing industry (1989-2014).</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ID UW, Warszawa 2014, członek rady naukowej.</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Międzynarodowa Konferencja Produkt and Packaging – udział, prowadzenie panelu, Łódź 24-25.11.2014.</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XVII Międzynarodowa Konferencja Naukowo-Techniczna  „Ergonomia Niepełnosprawnym – integracja społeczna i zawodowa”. Politechnik Łódzka. 2015</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HIGH-TECH za Żelazna Kurtyną, elektronika, komputery, i systemy sterowania w PRL. Katowice 23-24.09.2015. Prasa informatyczna dla młodzieży 1986-1989. IKS – Informatyka, Komputery, Systemy – studium przypadku.</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 Media regionalne, ID UW, Warszawa 2015, członek rady naukowej.</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Metodologiczne Inspiracje 2016 – Badania Ilościowe w Naukach Społecznych – Wyzwania i Problemy. 28-30 wrzesień 2016, Jabłonna. Instytut Filozofii i Socjologii PAN</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 Media regionalne. Między kasą a widownią.{współautor]Jan Grzegorek.</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 Media regionalne, Monetyzacja WDIiB UW, Warszawa 2016, Przewodniczący komitetu organizacyjnego.</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Konferencja Logistyka Mediów – Media regionalne, Monetyzacja WDIiB UW, Warszawa 2016, członek rady naukowej. </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Logistyka Mediów - Big Data. WDIiB UW, Warszawa 2017, Członek rady naukowej, Przewodniczący Komitetu Organizacyjnego.</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MKEN 2017 Międzynarodowa Konferencja Ergonomia Niepełnosprawnym, Politechnika łódzka, Łódź 2018, 21-22.11. 2018. Sieć vs niepełnosprawni.</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Sympozjum Historia spółki Święty Wojciech w świetle walki o niepodległość i zachowanie polskiej tożsamości. Poznań. UAM, UW, 19.04.2018. Technologiczne artefakty nacjonalizacji Księgarni i Drukarni św. Wojciech.</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Kongres Książki. Warszawa 8-9.05.2018 WDIiB. Prowadzenie panelu Rola poligrafii w tworzeniu książki na przestrzeni ostatnich lat w Polsce. Kierunki Rozwoju i nowe perspektywy w najbliższych latach.</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Sympozjum naukowe Drukarnia 4.0. Gdańsk 2018.07.09 „Wiarygodność i wartość informacji w procesach biznesowych”.</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25 lat Świata druku. Łódx 2018.09.05 „Transformacja polskiego sektora Poligraficznego”</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Innowacyjna gospodarka. Rola polityki ekonomicznej. Wydział Nauk Ekonomicznych UW. Warszawa 13-14 września 2018. Referat: Identyfikacja innowacji za pomoca analizy big data.</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Rynek poligraficzny i opakowań z nadrukiem w Polsce. Prezentacja VII edycji Raportu. Warszawa, 18.09.2018 (referat: Koniunktura w sektorze poligraficznym)</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50th Conference of the International Circle of Educational Institutes for Graphic Arts: Technology and Monagement. </w:t>
            </w:r>
            <w:r>
              <w:rPr>
                <w:rFonts w:ascii="Arial" w:eastAsia="Arial" w:hAnsi="Arial" w:cs="Arial"/>
                <w:color w:val="000000"/>
                <w:sz w:val="20"/>
                <w:szCs w:val="20"/>
              </w:rPr>
              <w:t xml:space="preserve">Warszawa. 4-7. 10.2018  </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50 lat tradycji kształcenia poligrafów na Politechnice Warszawskiej. Warszawa  4-7. 10.2018  </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V Konferencja Naukowa Logistyka i Zarządzanie w mediach, WDIiB, Warszawa XII. 2018. Udział w komitecie naukowym. Referat: Ukraina w statystyce Big Data.</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II Ogólnopolska Konferencja Naukowa „Informacja w Przestrzeni Publicznej” Członek Komitetu Naukowego (25.II.2021)</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«РЕГІОНАЛЬНА ЖУРНАЛІСТИКА: РЕАЛІЇ, ВИКЛИКИ, ПЕРСПЕКТИВИ» Międzynarodowa konferencja naukowa. Tarnopol 2021-04-15  Współprzewodniczący Komitetu Organizacyjnego</w:t>
            </w:r>
          </w:p>
          <w:p w:rsidR="00846CB7" w:rsidRDefault="00846CB7" w:rsidP="00762B46">
            <w:pPr>
              <w:numPr>
                <w:ilvl w:val="0"/>
                <w:numId w:val="5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Międzynarodowa Konferencja naukowa: Big Data – rafinacja informacji – medycyna – ekonomia – media.  UTH Warszawa 28 maj 2021, przewodniczący komitetu naukowego</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Recenzje</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Ekonomika i Organizacja Przedsiębiorstwa </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Aleksandra Gancarczyk,  Crowdfunding</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Jędrzej Skrzypczak,  Spółki regionalne Polskiego Radia a realizacja misji publicznej w erze cyfrowej</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Agata Opolska-Bielańska, Społeczna odpowiedzialność jako element funkcjonowania mediów</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Magdalena Bigaj, Polski rynek usług wideo na żądanie (VOD). Preferencje internautów i dostęp do nielegalnych źródeł</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Piotr Kubiszewski, Strategie sprzedaży treści online</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Włodzimierz Gogołek, Rafinacja dużej skali zasobów sieciowych — Big Data. Dziennikarskie źródło informacji</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Patryk Makulski, Open Data w zarządzaniu miastem </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Olaf Flak, Wykorzystanie układu wielkości organizacyjnych do pomiaru aktywności menedżera (2017)</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Bezrobocie wśród osób starszych w kontekście nieformalnego zatrudnienia (2017)</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Zamówienia na roboty budowlane realizowane przez podmioty publiczne – ukryte koszty społeczne (2017)</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Wpływ zmian organizacyjno-prawnych w Miejskim Ośrodku Sportu i Rekreacji  a efektywność świadczonych usług  (2017)</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Jw. (2018) – druga recenzja</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Organizacje rozproszone i ponadbranżowe jako modelowe dla czwartej rewolucji przemysłowej (EiOP 2018)</w:t>
            </w:r>
          </w:p>
          <w:p w:rsidR="00846CB7" w:rsidRDefault="00846CB7" w:rsidP="00762B46">
            <w:pPr>
              <w:numPr>
                <w:ilvl w:val="0"/>
                <w:numId w:val="5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Zeszyty Naukowe Katedry Technologii Informacyjnych Mediów (2018)</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Politechnika Łódzka Wydział Zarządzania</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6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Gabriela Kmita-Fudalej, Włodzimierz Szewczyk, Tektury jako materiał na opakowania do żywności (2017)</w:t>
            </w:r>
          </w:p>
          <w:p w:rsidR="00846CB7" w:rsidRDefault="00846CB7" w:rsidP="00762B46">
            <w:pPr>
              <w:numPr>
                <w:ilvl w:val="0"/>
                <w:numId w:val="6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Małgorzata Kwiecień, Konrad Olejnik, Techniczne aspekty zanieczyszczenia wytworów papierowych (2017)</w:t>
            </w:r>
          </w:p>
          <w:p w:rsidR="00846CB7" w:rsidRDefault="00846CB7" w:rsidP="00762B46">
            <w:pPr>
              <w:numPr>
                <w:ilvl w:val="0"/>
                <w:numId w:val="6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Svitlana Khadzynova: Badania jakości nadruku w drukowaniu cyfrowym, Politechnika Łódzka, (2019)</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Szkoła Główna Handlowa w Warszawie. Kolegium Ekonomiczno-Społeczne</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Aleksandra Chmielewska, Lojalność a wartość rynkowa przedsiębiorstw telewizyjnych w Polsce. Praca doktorska.</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Rocznik Historii Prasy Polskiej</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1PRASA INFORMATYCZNA W POLSCE – ZMIANY NA RYNKU </w:t>
            </w:r>
          </w:p>
          <w:p w:rsidR="00846CB7" w:rsidRPr="00846CB7" w:rsidRDefault="00846CB7" w:rsidP="00762B46">
            <w:pPr>
              <w:tabs>
                <w:tab w:val="left" w:pos="1134"/>
              </w:tabs>
              <w:ind w:right="503" w:firstLine="22"/>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I PROFESJONALIZACJA SEGMENTU. Polish computer magazines – changes on market and professionalization of segment</w:t>
            </w: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Journal of Big Data</w:t>
            </w: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 </w:t>
            </w: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Inne</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Założenia metodologiczne do projektu dotyczącego badań za pomocą narzędzi Big Data na temat działalności B+R+I. Narodowe Centrum Badań i Rozwoju. Warszawa 2016.</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Działalność ekspercka</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Ekspert Polskiej Agencji Rozwoju Przedsiębiorczości od 2018</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Ekspertyzy dla Ministerstwa Gospodarki</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6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Ekspertyza w zakresie szczegółowego określenia stanu maszyn i urządzeń istniejącego w przedsiębiorstwie „Drukarnia S. Buszczyńskiego” w Toruniu, ul. Mostowa 3 w dniu 5 lutego 1946 r., Warszawa 2011. </w:t>
            </w:r>
          </w:p>
          <w:p w:rsidR="00846CB7" w:rsidRDefault="00846CB7" w:rsidP="00762B46">
            <w:pPr>
              <w:numPr>
                <w:ilvl w:val="0"/>
                <w:numId w:val="6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Opinia w zakresie szczegółowego określenia faktycznej (rzeczywistej) zdolności zatrudnienia pracowników zatrudnionych bezpośrednio przy produkcji, na jedną zmianę roboczą w przedsiębiorstwie pn. „ST. BURTAN I Sp.” ZAKŁADY CERAMICZNE w Krakowie, ul. Basztowa 17, Cegielnia – Zielonki, w dniu 5 lutego 1946 roku”, Warszawa 2011. </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Ekspertyzy dla Ministerstwa Edukacji</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8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Opinia w zakresie technologii produkcji podręcznika do nauczania początkowego. Warszawa, 2016.</w:t>
            </w:r>
          </w:p>
          <w:p w:rsidR="00846CB7" w:rsidRDefault="00846CB7" w:rsidP="00762B46">
            <w:pPr>
              <w:numPr>
                <w:ilvl w:val="0"/>
                <w:numId w:val="8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Opinia w zakresie technologii produkcji podręcznika do nauki matematyki. Warszawa 2016</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Ekspertyzy dla Wydawnictwa i Księgarni św. Wojciecha, Kurii Archidiecezjalnej w Poznaniu </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color w:val="000000"/>
                <w:sz w:val="20"/>
                <w:szCs w:val="20"/>
              </w:rPr>
            </w:pPr>
            <w:r>
              <w:rPr>
                <w:rFonts w:ascii="Arial" w:eastAsia="Arial" w:hAnsi="Arial" w:cs="Arial"/>
                <w:color w:val="000000"/>
                <w:sz w:val="20"/>
                <w:szCs w:val="20"/>
              </w:rPr>
              <w:t xml:space="preserve">Opinie wskazująca na stan ilościowy maszyn i urządzeń (środków trwałych) w przedsiębiorstwie „Drukarnia i Księgarnia Św. Wojciecha Sp. Z o.o. z siedzibą w Poznaniu zlokalizowaną w Poznaniu przy ul. Piotra Wawrzyniaka 37,39,41, ul. Jackowskiego  30 i al. K. Marcinkowskiego 21. na dzień 5 luty 1946 roku. Recenzja W. Gogołek, W. Cetera, Warszawa 2014. </w:t>
            </w:r>
          </w:p>
          <w:p w:rsidR="00846CB7" w:rsidRDefault="00846CB7" w:rsidP="00762B46">
            <w:pPr>
              <w:tabs>
                <w:tab w:val="left" w:pos="1134"/>
              </w:tabs>
              <w:ind w:left="2542" w:right="503"/>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Ekspertyzy dla Sądów (opinie biegłego sądowego dotyczące)</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8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wycen maszyn, urządzeń i praw (6),</w:t>
            </w:r>
          </w:p>
          <w:p w:rsidR="00846CB7" w:rsidRDefault="00846CB7" w:rsidP="00762B46">
            <w:pPr>
              <w:numPr>
                <w:ilvl w:val="0"/>
                <w:numId w:val="8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jakości wyrobów i poprawności systemu zapewnienia jakości (8),</w:t>
            </w:r>
          </w:p>
          <w:p w:rsidR="00846CB7" w:rsidRDefault="00846CB7" w:rsidP="00762B46">
            <w:pPr>
              <w:numPr>
                <w:ilvl w:val="0"/>
                <w:numId w:val="8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innowacyjności urządzeń i rozwiązań organizacyjnych (3).</w:t>
            </w:r>
          </w:p>
          <w:p w:rsidR="00846CB7" w:rsidRDefault="00846CB7" w:rsidP="00762B46">
            <w:pPr>
              <w:numPr>
                <w:ilvl w:val="0"/>
                <w:numId w:val="8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Opinia do sądu dot. warunków eksploatacji urządzenia KIP-80</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Ekspertyzy dla organizacji i podmiotów gospodarczych (opinie o innowacyjności) </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Innowacyjna technologia oprawy kieszonkowych nośników informacji w okładkach magnetycznych.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Innowacyjna technologia produkcji książek w oprawie z zastosowaniem wyklejek nakładkowych.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Wytwarzania druków lakierowanych z nadrukiem i uszlachetnianiem o najwyższych parametrach jakościowych.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Innowacyjna linia do produkcji matryc i  patryc grawerowanych w tym również strukturalnych stosowanych jako oprzyrządowanie w produkcji poligraficznej: druków dziełowych, akcydensów, opakowań w tym umożliwiającym aplikacje w alfabecie Braille’a.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Zwiększenie konkurencyjności Drukarni Multipress w skali kraju poprzez zasadniczą zmianę procesu produkcyjnego.,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Innowacyjnego systemu naświetlania matryc offsetowych za pomocą technologii lasera czerwonego 830 nm w urządzeniu Suprasetter 105 – generacja Ipex 2010 wraz z systemem work flow.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Innowacyjna technologia szczelinowego wykrawania kart o najwyższych parametrach jakościowych.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Innowacyjna technologia wytwarzania druków akcydensowych z nadrukiem i uszlachetnianiem o najwyższych parametrach jakościowych”.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Innowacyjna technologia druku offsetowego z lakierem o najwyższej jakości odwzorowania barw.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Innowacyjnego systemu naświetlania matryc offsetowych za pomocą technologii lasera czerwonego 830 nm w urządzeniu Suprasetter 105 – generacja Ipex 2010 wraz z systemem work flow (łańcuch technologiczny) oparty na programie Signa Station. Warszawa 2011.</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Innowacyjności maszyny drukującej KIP C7800 drukującej w technologii LED. Warszawa 2012. </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Technologia produkcji opakowania uzupełniona uszlachetnioną techniką druku z użyciem folii hot-stampingowej. Warszawa 2014.</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Nowa technologia zadrukowywania i uszlachetniania powierzchni opakowań artykułów luksusowych. Warszawa 2014. </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Opinia o wdrożeniu innowacyjnej technologii – Drukarnia MULTIPRESS Sp. z o.o. (działanie 4.3), Warszawa, marzec 2014.</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Opinia dot. ekonomicznie uzasadnionych kosztów naprawy. Sąd Gospodarczy XXVI Wydział, Warszawa,  listopad 2014.  </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Opinia dotycząca weryfikacji przyczyn i konsekwencji ekonomicznych awarii maszyny poligraficznej. Open Expert, czerwiec 2014. </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Opinia o innowacyjności technologii. KEA, Warszawa, luty 2014. </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Opinia o innowacyjności nowej technologii, Polski Druk Publishing, Warszawa, październik 2014. </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Opinia o innowacyjności Technologia produkcji opakowań z tektur powlekanych i niepowlekanych o podwyższonych parametrach użytkowych nadruku. Warszawa, październik 2015.</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Opinia o innowacyjności produkcji wysokojakościowych książek i katalogów branżowych zawierających połączenie do trójwymiarowej rozszerzonej rzeczywistości. Warszawa 2015.</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Opinia dot. innowacyjnych rozwiązań organizacyjnych, technologicznych i sprzętowych w celu wprowadzenia na rynek nowych produktów poligraficznych w ramach realizacji projektu pt: „Wzrost innowacyjności i konkurencyjności CGS Drukarnia Sp. z o.o. poprzez inwestycję w maszynę drukarską LED UV w celu produkcji wysokojakościowych książek i katalogów </w:t>
            </w:r>
            <w:r>
              <w:rPr>
                <w:rFonts w:ascii="Arial" w:eastAsia="Arial" w:hAnsi="Arial" w:cs="Arial"/>
                <w:color w:val="000000"/>
                <w:sz w:val="20"/>
                <w:szCs w:val="20"/>
              </w:rPr>
              <w:lastRenderedPageBreak/>
              <w:t>branżowych zawierających połączenie do trójwymiarowej rozszerzonej rzeczywistości”. Warszawa 2015.</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System kontroli produkcji opakowań in-line. Instytut Ekonomiki i Organizacji Przedsiębiorstwa „ORGMASZ”. Warszawa 2016</w:t>
            </w:r>
          </w:p>
          <w:p w:rsidR="00846CB7" w:rsidRDefault="00846CB7" w:rsidP="00762B46">
            <w:pPr>
              <w:numPr>
                <w:ilvl w:val="0"/>
                <w:numId w:val="8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Wdrożenie w praktyce produkcyjnej innowacyjnej technologii wytwarzania jednostkowo wykrawanych etykiet kształtowych, klejonych na mokro (wet glue label) w technice fleksograficznej. Instytut Ekonomiki i Organizacji Przedsiębiorstwa „ORGMASZ” . Warszawa 2016</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Projekty</w:t>
            </w:r>
          </w:p>
          <w:p w:rsidR="00846CB7" w:rsidRDefault="00846CB7" w:rsidP="00762B46">
            <w:pPr>
              <w:tabs>
                <w:tab w:val="left" w:pos="1134"/>
              </w:tabs>
              <w:ind w:right="503" w:firstLine="22"/>
              <w:jc w:val="both"/>
              <w:rPr>
                <w:rFonts w:ascii="Arial" w:eastAsia="Arial" w:hAnsi="Arial" w:cs="Arial"/>
                <w:b/>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Projekty Big Data</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8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rozwiązania dotyczącego pozyskiwania i analizowania informacji ze źródeł BigData z zakresu B+R+I. Numer grantu/projektu 2/17/PN</w:t>
            </w:r>
          </w:p>
          <w:p w:rsidR="00846CB7" w:rsidRDefault="00846CB7" w:rsidP="00762B46">
            <w:pPr>
              <w:tabs>
                <w:tab w:val="left" w:pos="1134"/>
              </w:tabs>
              <w:ind w:left="352" w:right="503" w:firstLine="22"/>
              <w:jc w:val="both"/>
              <w:rPr>
                <w:rFonts w:ascii="Arial" w:eastAsia="Arial" w:hAnsi="Arial" w:cs="Arial"/>
                <w:color w:val="000000"/>
                <w:sz w:val="20"/>
                <w:szCs w:val="20"/>
              </w:rPr>
            </w:pPr>
            <w:r>
              <w:rPr>
                <w:rFonts w:ascii="Arial" w:eastAsia="Arial" w:hAnsi="Arial" w:cs="Arial"/>
                <w:color w:val="000000"/>
                <w:sz w:val="20"/>
                <w:szCs w:val="20"/>
              </w:rPr>
              <w:t>Instytucja (podmiot realizujący) Uniwersytet Warszawski. Źródło finansowania NCBiR. Wysokość przyznanych środków etap I - 540 020 zł+ VAT; etap II - 939 000 zł + VAT. Członek zespołu.</w:t>
            </w:r>
          </w:p>
          <w:p w:rsidR="00846CB7" w:rsidRDefault="00846CB7" w:rsidP="00762B46">
            <w:pPr>
              <w:tabs>
                <w:tab w:val="left" w:pos="1134"/>
              </w:tabs>
              <w:ind w:left="352" w:right="503" w:firstLine="22"/>
              <w:jc w:val="both"/>
              <w:rPr>
                <w:rFonts w:ascii="Arial" w:eastAsia="Arial" w:hAnsi="Arial" w:cs="Arial"/>
                <w:color w:val="000000"/>
                <w:sz w:val="20"/>
                <w:szCs w:val="20"/>
              </w:rPr>
            </w:pPr>
            <w:r>
              <w:rPr>
                <w:rFonts w:ascii="Arial" w:eastAsia="Arial" w:hAnsi="Arial" w:cs="Arial"/>
                <w:color w:val="000000"/>
                <w:sz w:val="20"/>
                <w:szCs w:val="20"/>
              </w:rPr>
              <w:t>Raporty projektu Big Data</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cloud computing.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energia.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przemysł drzewny.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włókiennictwo.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lotnictwo.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materiały konstrukcyjne.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materiały fotoniczne  i nanoelektroniczne.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elektromobilność i przemysł stoczniowy.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 sztuczna inteligencja (AI) cz. 1</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 sztuczna inteligencja (AI) cz. 2.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  przemysł 4.0 cz.1.</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  przemysł 4.0 cz.2.</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Intermodalny transport lotniczy (ang. Intermodal passenger transport) Raport XIII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Badanie gospodarki wodnej i żeglugi śródlądowej Raport XIV</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Eksploracja źródeł danych w zakresie działalności B+R+I.  Energia. Raport XV i XVI </w:t>
            </w:r>
          </w:p>
          <w:p w:rsidR="00846CB7" w:rsidRDefault="00846CB7" w:rsidP="00762B46">
            <w:pPr>
              <w:tabs>
                <w:tab w:val="left" w:pos="1134"/>
              </w:tabs>
              <w:ind w:left="374"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Sztuczna Inteligencja Raport XVII</w:t>
            </w:r>
          </w:p>
          <w:p w:rsidR="00846CB7" w:rsidRDefault="00846CB7" w:rsidP="00762B46">
            <w:pPr>
              <w:tabs>
                <w:tab w:val="left" w:pos="1134"/>
              </w:tabs>
              <w:ind w:left="352" w:right="503" w:firstLine="22"/>
              <w:jc w:val="both"/>
              <w:rPr>
                <w:rFonts w:ascii="Arial" w:eastAsia="Arial" w:hAnsi="Arial" w:cs="Arial"/>
                <w:color w:val="000000"/>
                <w:sz w:val="20"/>
                <w:szCs w:val="20"/>
              </w:rPr>
            </w:pPr>
            <w:r>
              <w:rPr>
                <w:rFonts w:ascii="Arial" w:eastAsia="Arial" w:hAnsi="Arial" w:cs="Arial"/>
                <w:color w:val="000000"/>
                <w:sz w:val="20"/>
                <w:szCs w:val="20"/>
              </w:rPr>
              <w:t>Eksploracja źródeł danych w zakresie działalności B+R+I. Intermodalny transport lotniczy (ang. Intermodal passenger transport) Raport XVIII</w:t>
            </w:r>
          </w:p>
          <w:p w:rsidR="00846CB7" w:rsidRDefault="00846CB7" w:rsidP="00762B46">
            <w:pPr>
              <w:tabs>
                <w:tab w:val="left" w:pos="1134"/>
              </w:tabs>
              <w:ind w:right="503" w:firstLine="22"/>
              <w:jc w:val="both"/>
              <w:rPr>
                <w:rFonts w:ascii="Arial" w:eastAsia="Arial" w:hAnsi="Arial" w:cs="Arial"/>
                <w:color w:val="000000"/>
                <w:sz w:val="20"/>
                <w:szCs w:val="20"/>
              </w:rPr>
            </w:pPr>
          </w:p>
          <w:p w:rsidR="00846CB7" w:rsidRDefault="00846CB7" w:rsidP="00762B46">
            <w:pPr>
              <w:numPr>
                <w:ilvl w:val="0"/>
                <w:numId w:val="8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rozwiązania dotyczącego monitorowania trendów technologicznych. Numer grantu/projektu Narodowego Centrum Badań i Rozwoju 26/18/PN.</w:t>
            </w:r>
          </w:p>
          <w:p w:rsidR="00846CB7" w:rsidRDefault="00846CB7" w:rsidP="00762B46">
            <w:pPr>
              <w:tabs>
                <w:tab w:val="left" w:pos="1134"/>
              </w:tabs>
              <w:ind w:left="382"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Konsorcjum Uniwersytet Warszawski, Centrum Rafinacji Informacji Sp. z o.o.) : Wiesław Cetera. Wysokość przyznanych środków 3 198 000 zł (brutto). </w:t>
            </w:r>
          </w:p>
          <w:p w:rsidR="00846CB7" w:rsidRDefault="00846CB7" w:rsidP="00762B46">
            <w:pPr>
              <w:tabs>
                <w:tab w:val="left" w:pos="1134"/>
              </w:tabs>
              <w:ind w:right="503" w:firstLine="22"/>
              <w:jc w:val="both"/>
              <w:rPr>
                <w:rFonts w:ascii="Arial" w:eastAsia="Arial" w:hAnsi="Arial" w:cs="Arial"/>
                <w:color w:val="000000"/>
                <w:sz w:val="20"/>
                <w:szCs w:val="20"/>
              </w:rPr>
            </w:pPr>
            <w:r>
              <w:rPr>
                <w:rFonts w:ascii="Arial" w:eastAsia="Arial" w:hAnsi="Arial" w:cs="Arial"/>
                <w:color w:val="000000"/>
                <w:sz w:val="20"/>
                <w:szCs w:val="20"/>
              </w:rPr>
              <w:t xml:space="preserve"> </w:t>
            </w:r>
          </w:p>
          <w:p w:rsidR="00846CB7" w:rsidRDefault="00846CB7" w:rsidP="00762B46">
            <w:pPr>
              <w:numPr>
                <w:ilvl w:val="0"/>
                <w:numId w:val="8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Realizacja projektu Identyfikacja, Kolekcjonowanie i ocena nieprzyjaznych operacji dezinformacyjnych w cyberprzestrzeni, prowadzonych w oparciu o narzędzia teleinformatyczne (IKONA) Cybersecident/489281/IV/NCBR/2021 – Konsorcjum CRI-UW (6,6 mln)</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846CB7" w:rsidTr="00762B46">
        <w:tc>
          <w:tcPr>
            <w:tcW w:w="9167" w:type="dxa"/>
          </w:tcPr>
          <w:p w:rsidR="00846CB7" w:rsidRDefault="00846CB7" w:rsidP="00762B46">
            <w:pPr>
              <w:tabs>
                <w:tab w:val="left" w:pos="1134"/>
              </w:tabs>
              <w:spacing w:before="120"/>
              <w:ind w:left="22" w:right="503"/>
              <w:jc w:val="both"/>
              <w:rPr>
                <w:rFonts w:ascii="Arial" w:eastAsia="Arial" w:hAnsi="Arial" w:cs="Arial"/>
                <w:b/>
                <w:color w:val="000000"/>
                <w:sz w:val="20"/>
                <w:szCs w:val="20"/>
              </w:rPr>
            </w:pPr>
            <w:r>
              <w:rPr>
                <w:rFonts w:ascii="Arial" w:eastAsia="Arial" w:hAnsi="Arial" w:cs="Arial"/>
                <w:b/>
                <w:color w:val="000000"/>
                <w:sz w:val="20"/>
                <w:szCs w:val="20"/>
              </w:rPr>
              <w:t>Działalność dydaktyczna</w:t>
            </w:r>
          </w:p>
          <w:p w:rsidR="00846CB7" w:rsidRDefault="00846CB7" w:rsidP="00762B46">
            <w:pPr>
              <w:numPr>
                <w:ilvl w:val="0"/>
                <w:numId w:val="8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Współautorstwo zmian w programie studiów licencjackich na kierunku logistyka mediów oraz współautorem programu studiów magisterskich (uruchomionych w 2016 roku). </w:t>
            </w:r>
          </w:p>
          <w:p w:rsidR="00846CB7" w:rsidRDefault="00846CB7" w:rsidP="00762B46">
            <w:pPr>
              <w:numPr>
                <w:ilvl w:val="0"/>
                <w:numId w:val="8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Prowadzenie od roku 2013 zajęcia na Uniwersytecie Warszawski (w Instytucie Dziennikarstwa obecnie na Wydziale Dziennikarstwa, Informacji i Bibliologii) z następujących przedmiotów:</w:t>
            </w:r>
          </w:p>
          <w:p w:rsidR="00846CB7" w:rsidRDefault="00846CB7" w:rsidP="00762B46">
            <w:pPr>
              <w:numPr>
                <w:ilvl w:val="0"/>
                <w:numId w:val="7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Ekonomia przedsiębiorstwa medialnego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Ekonomika środków przekazu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Logistyka i zarządzanie łańcuchem dostaw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Logistyka przedsiębiorstwa</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Projektowanie procesów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Zarządzanie ryzykiem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Ekonomia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Ekonomika transportu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Finanse i rachunkowość </w:t>
            </w:r>
          </w:p>
          <w:p w:rsidR="00846CB7" w:rsidRDefault="00846CB7" w:rsidP="00762B46">
            <w:pPr>
              <w:numPr>
                <w:ilvl w:val="0"/>
                <w:numId w:val="7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Zarządzanie produkcją i usługami  </w:t>
            </w:r>
          </w:p>
          <w:p w:rsidR="00846CB7" w:rsidRDefault="00846CB7" w:rsidP="00762B46">
            <w:pPr>
              <w:numPr>
                <w:ilvl w:val="0"/>
                <w:numId w:val="8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 latach 2015 – 2021 :</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Promotor  prac licencjackich – 70</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Promotor prac magisterskich – 32</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Recenzent prac licencjackich – 47</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Recenzent prac magisterskich – 22 </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Promotor pomocniczy prac doktorskich</w:t>
            </w:r>
          </w:p>
          <w:p w:rsidR="00846CB7" w:rsidRDefault="00846CB7" w:rsidP="00762B46">
            <w:pPr>
              <w:numPr>
                <w:ilvl w:val="0"/>
                <w:numId w:val="7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Rafał Głębocki:  „Model kształcenia informatycznego w szkołach ponadgimnazjalnych w społeczeństwie sieci”. Planowana obrona - lato 2016.</w:t>
            </w:r>
          </w:p>
          <w:p w:rsidR="00846CB7" w:rsidRDefault="00846CB7" w:rsidP="00762B46">
            <w:pPr>
              <w:numPr>
                <w:ilvl w:val="0"/>
                <w:numId w:val="7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Patryk Makulski: „Nowe technologie komunikacyjne w budowie marki polskich miast”. Planowana obrona jesień - 2016,</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Współautorstwo programów edukacyjnych</w:t>
            </w:r>
          </w:p>
          <w:p w:rsidR="00846CB7" w:rsidRDefault="00846CB7" w:rsidP="00762B46">
            <w:pPr>
              <w:numPr>
                <w:ilvl w:val="0"/>
                <w:numId w:val="7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Wydział Dziennikarstwa, Informacji i Bibliologii, studia II stopnia Logistyka mediów.</w:t>
            </w:r>
          </w:p>
          <w:p w:rsidR="00846CB7" w:rsidRDefault="00846CB7" w:rsidP="00762B46">
            <w:pPr>
              <w:numPr>
                <w:ilvl w:val="0"/>
                <w:numId w:val="7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Wydział Dziennikarstwa, Informacji i Bibliologii, studia II stopnia Zarządzanie Big Data – program zakwalifikowany do realizacji w programie POWER </w:t>
            </w:r>
          </w:p>
          <w:p w:rsidR="00846CB7" w:rsidRDefault="00846CB7" w:rsidP="00762B46">
            <w:pPr>
              <w:numPr>
                <w:ilvl w:val="0"/>
                <w:numId w:val="7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Wydział Dziennikarstwa, Informacji i Bibliologii, szkoła letnia „Academia Inkubatora Big Data” – 77 punktów – zakwalifikowana Wydział Dziennikarstwa, Informacji i Bibliologii, kierunek: Zarządzanie Big Data – 87 pkt. – program zakwalifikowany do realizacji w programie POWER </w:t>
            </w:r>
          </w:p>
          <w:p w:rsidR="00846CB7" w:rsidRDefault="00846CB7" w:rsidP="00762B46">
            <w:pPr>
              <w:numPr>
                <w:ilvl w:val="0"/>
                <w:numId w:val="7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Wydział Dziennikarstwa, Informacji i Bibliologii wraz z Wydziałem Geografii, kierunek: Strategie dziedzictwa kulturowego – 95 pkt. program zakwalifikowany do realizacji w programie POWER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Autorstwo programu studiów</w:t>
            </w:r>
          </w:p>
          <w:p w:rsidR="00846CB7" w:rsidRDefault="00846CB7" w:rsidP="00762B46">
            <w:pPr>
              <w:numPr>
                <w:ilvl w:val="0"/>
                <w:numId w:val="7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Wydział Dziennikarstwa, Informacji i Bibliologii, program  studiów inżynierskich Logistyka Mediów</w:t>
            </w:r>
          </w:p>
          <w:p w:rsidR="00846CB7" w:rsidRDefault="00846CB7" w:rsidP="00762B46">
            <w:pPr>
              <w:numPr>
                <w:ilvl w:val="0"/>
                <w:numId w:val="7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Wydział Dziennikarstwa, Informacji i Bibliologii, program studiów podyplomowych Technologie Informacyjne Mediów.</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Opieka nad studentami</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W roku 2015 podczas Międzynarodowych Targów Poznańskich byłem organizatorem i opiekunem naukowym konferencji organizowanych przez studentów Logistyki Mediów: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a. Forum Innowatorów,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b. Transformacja na Rynku Mediów.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Wymienione wydarzenia były ważnym doświadczeniem dla uczestniczących w nim studentów, a także promocją nowego kierunku studiów.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Poza tym zabiegam o aktywność naukową i udział studentów w spotkaniach branżowych, co sprzyja budowie ich kapitału społecznego. Studenci Logistyki Mediów z mojej inicjatywy uczestniczą w letnich warsztatach organizowanych przez firmę Heidelberg Polska Sp. z o.o., które odbywają się w Heidelbergu (Niemcy).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Dwoje studentów, którzy napisali prace dyplomowe pod moim kierunkiem, opublikowało artykuły związane z prowadzonymi w ramach pracy badaniami w miesięczniku „Ekonomika i Organizacja Przedsiębiorstwa” (lista B – 12 pkt.).</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Staże naukowe</w:t>
            </w:r>
          </w:p>
          <w:p w:rsidR="00846CB7" w:rsidRDefault="00846CB7" w:rsidP="00762B46">
            <w:pPr>
              <w:numPr>
                <w:ilvl w:val="0"/>
                <w:numId w:val="2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 roku 2015 staż naukowy w Ukraińskiej Akademii Drukarstwa we Lwowie. Uczestnictwo w realizacji projektu naukowo-dydaktycznego pt. Rozwój technologii multimedialnych na Ukrainie. Prowadzenie seminarium dla doktorantów. Tematy ich prac dotyczyły realizowanego projektu oraz problematyki podejmowanej na kierunku studiów logistyka mediów w Instytucie Dziennikarstwa.</w:t>
            </w:r>
          </w:p>
          <w:p w:rsidR="00846CB7" w:rsidRDefault="00846CB7" w:rsidP="00762B46">
            <w:pPr>
              <w:numPr>
                <w:ilvl w:val="0"/>
                <w:numId w:val="2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 roku 2018 rozpoczęcie stażu naukowego na wydziale dziennikarstwa Narodowego Pedagogicznego Uniwersytetu im V. Hnatyuka. Staż trwać będzie do maja 2019 roku.</w:t>
            </w:r>
          </w:p>
          <w:p w:rsidR="00846CB7" w:rsidRDefault="00846CB7" w:rsidP="00762B46">
            <w:pPr>
              <w:tabs>
                <w:tab w:val="left" w:pos="1134"/>
              </w:tabs>
              <w:ind w:right="503"/>
              <w:jc w:val="both"/>
              <w:rPr>
                <w:rFonts w:ascii="Arial" w:eastAsia="Arial" w:hAnsi="Arial" w:cs="Arial"/>
                <w:color w:val="000000"/>
                <w:sz w:val="20"/>
                <w:szCs w:val="20"/>
              </w:rPr>
            </w:pP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hab. Grzegorz Gudzbeler, prof. UW</w:t>
            </w:r>
          </w:p>
        </w:tc>
      </w:tr>
      <w:tr w:rsidR="00846CB7" w:rsidTr="00762B46">
        <w:tc>
          <w:tcPr>
            <w:tcW w:w="9167" w:type="dxa"/>
          </w:tcPr>
          <w:p w:rsidR="00846CB7" w:rsidRDefault="00846CB7" w:rsidP="00762B46">
            <w:pPr>
              <w:tabs>
                <w:tab w:val="left" w:pos="1134"/>
              </w:tabs>
              <w:ind w:right="505"/>
              <w:jc w:val="both"/>
              <w:rPr>
                <w:rFonts w:ascii="Arial" w:eastAsia="Arial" w:hAnsi="Arial" w:cs="Arial"/>
                <w:color w:val="000000"/>
                <w:sz w:val="20"/>
                <w:szCs w:val="20"/>
              </w:rPr>
            </w:pPr>
          </w:p>
          <w:p w:rsidR="00846CB7" w:rsidRPr="0043427C" w:rsidRDefault="00846CB7" w:rsidP="00762B46">
            <w:pPr>
              <w:tabs>
                <w:tab w:val="left" w:pos="1134"/>
              </w:tabs>
              <w:ind w:right="505"/>
              <w:jc w:val="both"/>
              <w:rPr>
                <w:rFonts w:ascii="Arial" w:eastAsia="Arial" w:hAnsi="Arial" w:cs="Arial"/>
                <w:color w:val="000000"/>
                <w:sz w:val="20"/>
                <w:szCs w:val="20"/>
              </w:rPr>
            </w:pPr>
            <w:r w:rsidRPr="0043427C">
              <w:rPr>
                <w:rFonts w:ascii="Arial" w:eastAsia="Arial" w:hAnsi="Arial" w:cs="Arial"/>
                <w:color w:val="000000"/>
                <w:sz w:val="20"/>
                <w:szCs w:val="20"/>
              </w:rPr>
              <w:t>Doktor habilitowany nauk społecznych, w zakresie nauk o bezpieczeństwie - 17 kwietnia</w:t>
            </w:r>
            <w:r>
              <w:rPr>
                <w:rFonts w:ascii="Arial" w:eastAsia="Arial" w:hAnsi="Arial" w:cs="Arial"/>
                <w:color w:val="000000"/>
                <w:sz w:val="20"/>
                <w:szCs w:val="20"/>
              </w:rPr>
              <w:t xml:space="preserve"> </w:t>
            </w:r>
            <w:r w:rsidRPr="0043427C">
              <w:rPr>
                <w:rFonts w:ascii="Arial" w:eastAsia="Arial" w:hAnsi="Arial" w:cs="Arial"/>
                <w:color w:val="000000"/>
                <w:sz w:val="20"/>
                <w:szCs w:val="20"/>
              </w:rPr>
              <w:t>2019 r. uchwałą Rady Wydziału Nauk Politycznych i Studiów Międzynarodowych</w:t>
            </w:r>
            <w:r>
              <w:rPr>
                <w:rFonts w:ascii="Arial" w:eastAsia="Arial" w:hAnsi="Arial" w:cs="Arial"/>
                <w:color w:val="000000"/>
                <w:sz w:val="20"/>
                <w:szCs w:val="20"/>
              </w:rPr>
              <w:t xml:space="preserve"> </w:t>
            </w:r>
            <w:r w:rsidRPr="0043427C">
              <w:rPr>
                <w:rFonts w:ascii="Arial" w:eastAsia="Arial" w:hAnsi="Arial" w:cs="Arial"/>
                <w:color w:val="000000"/>
                <w:sz w:val="20"/>
                <w:szCs w:val="20"/>
              </w:rPr>
              <w:t>Uniwersytetu Warszawskiego uchwały o nadaniu stopnia doktora habilitowanego.</w:t>
            </w:r>
          </w:p>
          <w:p w:rsidR="00846CB7" w:rsidRPr="0043427C" w:rsidRDefault="00846CB7" w:rsidP="00762B46">
            <w:pPr>
              <w:tabs>
                <w:tab w:val="left" w:pos="1134"/>
              </w:tabs>
              <w:ind w:right="505"/>
              <w:jc w:val="both"/>
              <w:rPr>
                <w:rFonts w:ascii="Arial" w:eastAsia="Arial" w:hAnsi="Arial" w:cs="Arial"/>
                <w:color w:val="000000"/>
                <w:sz w:val="20"/>
                <w:szCs w:val="20"/>
              </w:rPr>
            </w:pPr>
            <w:r w:rsidRPr="0043427C">
              <w:rPr>
                <w:rFonts w:ascii="Arial" w:eastAsia="Arial" w:hAnsi="Arial" w:cs="Arial"/>
                <w:color w:val="000000"/>
                <w:sz w:val="20"/>
                <w:szCs w:val="20"/>
              </w:rPr>
              <w:t>Stopień doktora nauk społecznych w zakresie nauki o obronności – Wydział</w:t>
            </w:r>
          </w:p>
          <w:p w:rsidR="00846CB7" w:rsidRDefault="00846CB7" w:rsidP="00762B46">
            <w:pPr>
              <w:tabs>
                <w:tab w:val="left" w:pos="1134"/>
              </w:tabs>
              <w:ind w:right="505"/>
              <w:jc w:val="both"/>
              <w:rPr>
                <w:rFonts w:ascii="Arial" w:eastAsia="Arial" w:hAnsi="Arial" w:cs="Arial"/>
                <w:color w:val="000000"/>
                <w:sz w:val="20"/>
                <w:szCs w:val="20"/>
              </w:rPr>
            </w:pPr>
            <w:r w:rsidRPr="0043427C">
              <w:rPr>
                <w:rFonts w:ascii="Arial" w:eastAsia="Arial" w:hAnsi="Arial" w:cs="Arial"/>
                <w:color w:val="000000"/>
                <w:sz w:val="20"/>
                <w:szCs w:val="20"/>
              </w:rPr>
              <w:t>Zarządzania i Dowodzenia Akademii Obrony Narodowej – 18 grudnia 2012 roku.</w:t>
            </w:r>
          </w:p>
          <w:p w:rsidR="00846CB7" w:rsidRDefault="00846CB7" w:rsidP="00762B46">
            <w:pPr>
              <w:tabs>
                <w:tab w:val="left" w:pos="1134"/>
              </w:tabs>
              <w:ind w:right="505"/>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 i doświadczenie dydaktyczne</w:t>
            </w:r>
          </w:p>
        </w:tc>
      </w:tr>
      <w:tr w:rsidR="00846CB7" w:rsidTr="00762B46">
        <w:tc>
          <w:tcPr>
            <w:tcW w:w="9167" w:type="dxa"/>
          </w:tcPr>
          <w:p w:rsidR="00846CB7" w:rsidRDefault="00846CB7" w:rsidP="00762B46">
            <w:pPr>
              <w:tabs>
                <w:tab w:val="left" w:pos="1134"/>
              </w:tabs>
              <w:spacing w:before="120"/>
              <w:ind w:right="503" w:firstLine="22"/>
              <w:jc w:val="both"/>
              <w:rPr>
                <w:rFonts w:ascii="Arial" w:eastAsia="Arial" w:hAnsi="Arial" w:cs="Arial"/>
                <w:b/>
                <w:color w:val="000000"/>
                <w:sz w:val="20"/>
                <w:szCs w:val="20"/>
              </w:rPr>
            </w:pPr>
          </w:p>
          <w:p w:rsidR="00846CB7" w:rsidRDefault="00846CB7" w:rsidP="00762B46">
            <w:pPr>
              <w:tabs>
                <w:tab w:val="left" w:pos="1134"/>
              </w:tabs>
              <w:ind w:right="503" w:firstLine="22"/>
              <w:jc w:val="both"/>
              <w:rPr>
                <w:rFonts w:ascii="Arial" w:eastAsia="Arial" w:hAnsi="Arial" w:cs="Arial"/>
                <w:b/>
                <w:color w:val="000000"/>
                <w:sz w:val="20"/>
                <w:szCs w:val="20"/>
              </w:rPr>
            </w:pPr>
            <w:r>
              <w:rPr>
                <w:rFonts w:ascii="Arial" w:eastAsia="Arial" w:hAnsi="Arial" w:cs="Arial"/>
                <w:b/>
                <w:color w:val="000000"/>
                <w:sz w:val="20"/>
                <w:szCs w:val="20"/>
              </w:rPr>
              <w:t>Udział w projektach: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Budowa Systemu Wspomagania Dowodzenia WSPol w Szczytnie, lata 2001-2002, wraz z Nokia i ComputerLand – uczestnik.</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Budowa Szkoleniowego Centrum Powiadamiania Ratunkowego WSPol w Szczytnie, 2004 r.</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PL/07/LLPLdV/VETPRO/140424</w:t>
            </w:r>
            <w:r>
              <w:rPr>
                <w:rFonts w:ascii="Arial" w:eastAsia="Arial" w:hAnsi="Arial" w:cs="Arial"/>
                <w:color w:val="000000"/>
                <w:sz w:val="20"/>
                <w:szCs w:val="20"/>
              </w:rPr>
              <w:tab/>
              <w:t>Leonardo da Vinci - Podnoszenie kompetencji Policji w zakresie zapewnienia bezpieczenstwa imprez masowych – EURO 2012, WSPol Szczytno grudzień 2008-uczestnik.</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„Prototyp budowy symulatora działań Policji w sytuacjach kryzysowych” Narodowe Centrum Badań i Rozwoju, Nr OR00004107, finansowany ze środków na naukę w latach 2009-2011, wykonawca.</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pt. „Symulator kierowania pojazdami uprzywilejowanymi podczas działań typowych i ekstremalnych”,  Narodowe Centrum Badań i Rozwoju, Nr O ROB 0011 01/ID/11/1, lata 2011-2013, wykonawca.</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Zadanie badawcze Przygotowania w trakcie prezydencji Polski w Unii Europejskiej; ISP/1/2011/P/RCz, wykonawca.</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inwestycyjny pn. “Przebudowa i adaptacja budynku nr 52/I/IX/11 na potrzeby badań i prac rozwojowych”, realizowany w latach 2011-2012, w Wyższej Szkole Policji w Szczytnie, finansowany przez MNiSW, decyzja nr 6145/IB/212/2011 z 19 kwietnia 2011, członek zespołu projektowego – decyzja nr 7/2012 Komendanta-Rektora Wyższej Szkoły Policji w Szczytnie.</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„Zintegrowana Platforma Symulacyjna Podmiotów Zarządzania Kryzysowego”, Narodowe Centrum Badań i Rozwoju, nr DOBR-BIO4/041/13177/2013, lata 2013-2016, kierownik projektu.</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finansowany w ramach 7FP Unii Europejskiej - THE HOUSE (the European House of Major Events Security), październik 2012 do lipiec 2013, kierownik projektu.</w:t>
            </w:r>
          </w:p>
          <w:p w:rsidR="00846CB7" w:rsidRP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Projekt finansowany w ramach 7FP Unii Europejskiej – SECTOR Secure European Common Information Space For The Interoperability Of First Responders And Police Authorities, Grant agreement no: 607821, lata 2014 – 2016, kierownik zespołu badawczego.</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“Infrastruktura I urządzenia oraz procedury techniczno-prawne związane z zabezpieczeniem i przechowywaniem tzw. trudnych dowodów procesowych”, Narodowe Centrum Badań i Rozwoju, DOB-BIO4/068/13187/2013, lata 2013-2016, przewodniczący komitetu sterującego.</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„Wirtualny system doskonalenia taktyki działań interwencyjnych służb odpowiedzialnych za bezpieczeństwo i treningu strzeleckiego”, Narodowe Centrum Badań i Rozwoju, DOB-BIO7/19/01/2015, lata 2015-2017, kierownik projektu.</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„Zestaw opatrunkowy zabezpieczający urazy powstałe w trakcie pełnienia obowiązków służbowych przez służby mundurowe”, Narodowe Centrum Badań i Rozwoju, DOB-BIO7/19/98/2014, lata 2014-2017, przewodniczący komitetu sterującego.</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„Budowa systemu informatycznego wspierającego komunikację w Policji i innych służbach podległych MSW w aspekcie bezpieczeństwa wewnętrznego”, Narodowe Centrum Badań i Rozwoju, DOB-BIO7/03/01/2015, lata 2015-2017, wykonawca projektu, NCBR.</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Projekt rozwojowy „Opracowanie i wdrożenie innowacyjnego, kompleksowego systemu wspomagania szkolenia operatorów samojezdnych maszyn górniczych (SMG) do efektywnej i bezpiecznej pracy w podziemnych wyrobiskach kopalń rud miedzi”, nr CuBR/III/9/NCBR/2017, lata 2017-2020, wykonawca projektu (rok 2017), NCBR. </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rozwojowy pt. „Symulator wspomagający szkolenie policjantów w realizacji czynności na miejscu zdarzenia drogowego”, numer projektu: DOB-BIO9/06/01/2018 - projekt współfinansowany ze środków Narodowego Centrum Badań i Rozwoju w ramach konkursu nr 9/2018 na finansowanie badań naukowych i prac rozwojowych na rzecz obronności i bezpieczeństwa państwa. Wykonawca projektu.</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Projekt rozwojowy pt. „Symulator śmigłowca dla Lotnictwa Policyjnego”, numer projektu: DOB-BIO10/07/01/2019 - projekt finansowany ze środków Narodowego Centrum Badań i Rozwoju w ramach konkursu nr 10/2019 na wykonanie i finansowanie projektów w zakresie </w:t>
            </w:r>
            <w:r>
              <w:rPr>
                <w:rFonts w:ascii="Arial" w:eastAsia="Arial" w:hAnsi="Arial" w:cs="Arial"/>
                <w:color w:val="000000"/>
                <w:sz w:val="20"/>
                <w:szCs w:val="20"/>
              </w:rPr>
              <w:lastRenderedPageBreak/>
              <w:t>badań naukowych lub prac rozwojowych na rzecz obronności i bezpieczeństwa państwa. Wykonawca projektu.</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finansowany w ramach H2020 - EU–SENSE European Sensor System for CBRN Applications, Grant No. 787031, lata 2018-2020, kierownik zespołu badawczego.</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finansowany przez NCBR nr DOB-BIO9/24/02/2018 pt. „Wirtualne interaktywne centrum doskonalenia kompetencji zawodowych funkcjonariuszy Straży Granicznej”. Konsorcjum naukowo-przemysłowe w składzie: Politechnika Śląska, Zakłady Mechaniczne „Tarnów” S.A., Uniwersytet Warszawski, VRTECHNOLOGY sp. z o.o. Projekt realizowany w latach 2018-2021. Kierownik zespołu badawczego.</w:t>
            </w:r>
          </w:p>
          <w:p w:rsidR="00846CB7" w:rsidRDefault="00846CB7" w:rsidP="00762B46">
            <w:pPr>
              <w:numPr>
                <w:ilvl w:val="0"/>
                <w:numId w:val="2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 finansowany w ramach H2020 - EU–RADION  „European System for Improved Radiological Hazard Detection and Identification”, lata 2020-2023, kierownik zespołu badawczego (w trakcie realizacji).</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Aplikowanie o środki w ramach projektów:</w:t>
            </w:r>
          </w:p>
          <w:p w:rsidR="00846CB7" w:rsidRDefault="00846CB7" w:rsidP="00762B46">
            <w:pPr>
              <w:tabs>
                <w:tab w:val="left" w:pos="1134"/>
              </w:tabs>
              <w:ind w:left="22" w:right="503"/>
              <w:jc w:val="both"/>
              <w:rPr>
                <w:rFonts w:ascii="Arial" w:eastAsia="Arial" w:hAnsi="Arial" w:cs="Arial"/>
                <w:b/>
                <w:color w:val="000000"/>
                <w:sz w:val="20"/>
                <w:szCs w:val="20"/>
              </w:rPr>
            </w:pP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Budowa innowacyjnego systemu prezentacji osób i środowisk, Program operacyjny Smart Growth 2014-2020 - Application for project co-funding within Sectoral Programme GameINN; na lata 2017-2019; wniosek złożono 7 lipca 2017 r.; instytucja finansująca Narodowe Centrum Badań i Rozwoju;</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System budowy replik broni do wytwarzania szkoleniowych systemów wirtualnych; Program Operacyjny Inteligentny Rozwój 2014-2020; na lata 2017-2019; Numer naboru: 1/1.1.1/2017; instytucja finansująca Narodowe Centrum Badań i Rozwoju;</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Platforma Telerehabilitacji Ruchowej; Program Operacyjny Inteligentny Rozwój 2014-2020; na lata 2017-2019; Numer naboru: 1/1.1.1/2017; instytucja finansująca Narodowe Centrum Badań i Rozwoju;</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Mobilny system informacji miejskiej M-SIM – beneficjent miasto Sokołów Podlaski, HUMAN SMART CITIES. Inteligentne miasta współtworzone przez mieszkańców – Ministerstwo Rozwoju, złożono 20 listopada 2017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Mobilny system informacji miejskiej M-SIM – beneficjent miasto Płońsk, HUMAN SMART CITIES. Inteligentne miasta współtworzone przez mieszkańców – Ministerstwo Rozwoju, złożono 20 listopada 2017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Mobilny system informacji miejskiej M-SIM – beneficjent miasto Legionowo, HUMAN SMART CITIES. Inteligentne miasta współtworzone przez mieszkańców – Ministerstwo Rozwoju, złożono 20 listopada 2017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Mobilny system informacji miejskiej M-SIM – beneficjent miasto Grodzisk Mazowiecki, HUMAN SMART CITIES. Inteligentne miasta współtworzone przez mieszkańców – Ministerstwo Rozwoju, złożono 20 listopada 2017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laboratorium automatycznej analizy kryminalistycznej wybranych urządzeń elektronicznych i nośników danych, nr DOB-BIO9/10/01/2018, OiB NCBR, temat nr 10, złożono 10 września 2018 r., kierownik zespołu badawczego.</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Zastosowanie innowacyjnych i efektywnych metod i technologii umożliwiających wykrycie watah dzików, identyfikacji osobników z objawami klinicznymi ASF w naturalnym terenie ich występowania, OiB NCBR, temat 32, złożono 10 września 2018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„EU-ASSIST- European Advanced Sensor System for First Responders Operations”, 2018r, grant w ramach H2020. Konsorcjum naukowo-przemysłowe w składzie: ITTI Sp. z o.o., Nederlandse Organisatie voor Toegepast Natuurwetenschappelijk Onderzoek, Totalförsvarets forskningsinstitut, Forsvarets forskningsinstitutt, Technisch-mathematische studiengesellschaft mbh, Austrian Institute Of Technology, University of Warsaw, Szkola Glowna Sluzby Pozarniczej, University of Reading, KVS Technologies. </w:t>
            </w:r>
            <w:r>
              <w:rPr>
                <w:rFonts w:ascii="Arial" w:eastAsia="Arial" w:hAnsi="Arial" w:cs="Arial"/>
                <w:color w:val="000000"/>
                <w:sz w:val="20"/>
                <w:szCs w:val="20"/>
              </w:rPr>
              <w:t>Charakter udziału – kierownik zespołu naukowego UW.</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laboratorium automatycznej analizy kryminalistycznej wybranych urządzeń elektronicznych i nośników danych”, konkurs 9/2018 OiB, Narodowe Centrum badań i rozwoju, temat nr 8, złożono 15 września 2018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„Symulator dynamicznego wykorzystania pojazdów służbowych”, konkurs 10/2019 OiB, Narodowe Centrum badań i rozwoju, temat nr 10, złożono 10 września 2019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„Nowoczesne metody przygotowania zespołu do działań specjalnych z wykorzystaniem psów służbowych”, konkurs 10/2019 OiB, Narodowe Centrum badań i rozwoju, temat nr 15, złożono 10 września 2019 r.</w:t>
            </w:r>
          </w:p>
          <w:p w:rsidR="00846CB7" w:rsidRDefault="00846CB7" w:rsidP="00762B46">
            <w:pPr>
              <w:numPr>
                <w:ilvl w:val="0"/>
                <w:numId w:val="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Aplikacja o środki w ramach projektu „Rozproszony system wirtualnego treningu dla podmiotów KSRG”, program na rzecz obronności i bezpieczeństwa państwa pn. "Rozwój nowoczesnych, przełomowych technologii służących bezpieczeństwu i obronności państwa" pk. "SZAFIR" - Konkurs nr 2/SZAFIR/2020, listopad 2020.</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Promotor pomocniczy  prac doktorskich:</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 pomocniczy rozprawy doktorskiej pt. „Spottersi w teorii i badaniach na podstawie doświadczeń zdobytych w czasie turnieju finałowego Euro 2012” autor W. Jarczewski, WBW WSPol w Szczytnie, maj 2014.</w:t>
            </w:r>
          </w:p>
          <w:p w:rsidR="00846CB7" w:rsidRDefault="00846CB7" w:rsidP="00762B46">
            <w:pPr>
              <w:numPr>
                <w:ilvl w:val="0"/>
                <w:numId w:val="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 pomocniczy rozprawy doktorskiej pt. „Bezpieczeństwo publiczne mieszkańców województwa Wielkopolskiego – stan obecny i perspektywy”. Autor A. Tomalak, promotor: prof. dr hab. Stanisław Kowalkowski. Wydział Zarządzania i Dowodzenia Akademii Obrony Narodowej, 28 październik 2014 r.</w:t>
            </w:r>
          </w:p>
          <w:p w:rsidR="00846CB7" w:rsidRDefault="00846CB7" w:rsidP="00762B46">
            <w:pPr>
              <w:numPr>
                <w:ilvl w:val="0"/>
                <w:numId w:val="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 pomocniczy rozprawy doktorskiej pt. Identyfikacja człowieka na podstawie charakterystycznych cech sposobu jego poruszania się z wykorzystaniem kamery Microsoft Kinect 2.0, autor Ł. Szklarski, WBW WSPol w Szczytnie, maj 2018.</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Recenzent prac doktorskich zagranicznych:</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Pr="00846CB7" w:rsidRDefault="00846CB7" w:rsidP="00762B46">
            <w:pPr>
              <w:numPr>
                <w:ilvl w:val="0"/>
                <w:numId w:val="7"/>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Recenzent rozprawy doktorskiej pt. „Digital Data Heritage Preservation (DHP) Modelling and Design”, autor Lucia Cristina Carrion Gordon, University of Technology Sydney, 2018 r.</w:t>
            </w:r>
          </w:p>
          <w:p w:rsidR="00846CB7" w:rsidRPr="00846CB7" w:rsidRDefault="00846CB7" w:rsidP="00762B46">
            <w:pPr>
              <w:numPr>
                <w:ilvl w:val="0"/>
                <w:numId w:val="7"/>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Recenzent rozprawy doktorskiej pt. „Enterprise Architecture Driven Approach for Digital Transformation of Modern Organization”, autor Sunil Mysore Kempegowda, University of Technology Sydney, 2018 r.</w:t>
            </w:r>
          </w:p>
          <w:p w:rsidR="00846CB7" w:rsidRDefault="00846CB7" w:rsidP="00762B46">
            <w:pPr>
              <w:numPr>
                <w:ilvl w:val="0"/>
                <w:numId w:val="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Recenzent rozprawy doktorskiej pt. „Rola wybranych grup dyspozycyjnych w zapewnieniu bezpieczeństwa”, autor Piotr Banasiak, Akademia Sztuki Wojennej, Warszawa, 2019.</w:t>
            </w:r>
          </w:p>
          <w:p w:rsidR="00846CB7" w:rsidRDefault="00846CB7" w:rsidP="00762B46">
            <w:pPr>
              <w:numPr>
                <w:ilvl w:val="0"/>
                <w:numId w:val="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Recenzent rozprawy doktorskiej pt. „Szkolenie zawodowe funkcjonariuszy korpusu podoficerskiego w służbie więziennej”, autor mgra Mirosław Kuświk, Akademia Sztuki Wojennej, Warszawa, 2020.</w:t>
            </w:r>
          </w:p>
          <w:p w:rsidR="00846CB7" w:rsidRPr="00846CB7" w:rsidRDefault="00846CB7" w:rsidP="00762B46">
            <w:pPr>
              <w:numPr>
                <w:ilvl w:val="0"/>
                <w:numId w:val="7"/>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Recenzent książki “Preventing and counteracting crime with the use of advanced data analysis systems”, autor Justyna Jurczak, Instytut Wydawniczy EuroPrawo, ISBN: 978-83-7627-192-7.</w:t>
            </w:r>
          </w:p>
          <w:p w:rsidR="00846CB7" w:rsidRPr="00846CB7" w:rsidRDefault="00846CB7" w:rsidP="00762B46">
            <w:pPr>
              <w:tabs>
                <w:tab w:val="left" w:pos="1134"/>
              </w:tabs>
              <w:ind w:left="22" w:right="503"/>
              <w:jc w:val="both"/>
              <w:rPr>
                <w:rFonts w:ascii="Arial" w:eastAsia="Arial" w:hAnsi="Arial" w:cs="Arial"/>
                <w:color w:val="000000"/>
                <w:sz w:val="20"/>
                <w:szCs w:val="20"/>
                <w:lang w:val="en-US"/>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Recenzent dorobku habilitacyjnego:</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1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Recenzent działalności dydaktycznej, organizatorskiej, popularyzującej naukę oraz dorobku naukowego dra Mariana Lutostańskiego w ramach postępowania habilitacyjnego, 03 września 2019 r., prowadzonego przez Radę Wydziału Bezpieczeństwa Wewnętrznego Wyższej Szkoły Policji w Szczytnie (Uchwała Rady WBW nr 71 dnia 22.12.2016 r.).</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Recenzje na potrzeby PKA:</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1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8.12.2021 - Recenzja wniosku Wydziału Studiów Międzynarodowych i Politycznych Uniwersytetu Jagiellońskiego w Krakowie o ponowne rozpatrzenie sprawy oceny kierunku bezpieczeństwo narodowe na poziomie I i II stopnia o profilu ogólnoakademickim prowadzonego w formie studiów stacjonarnych i niestacjonarnych na Wydziale Studiów Międzynarodowych i Politycznych Uniwersytetu Jagiellońskiego w Krakowie zawartej w raporcie PKA i uchwale nr 1036/2021</w:t>
            </w:r>
          </w:p>
          <w:p w:rsidR="00846CB7" w:rsidRDefault="00846CB7" w:rsidP="00762B46">
            <w:pPr>
              <w:numPr>
                <w:ilvl w:val="0"/>
                <w:numId w:val="1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22.04.2022 – Recenzja wniosku o pozwolenie na utworzenie studiów II stopnia na kierunku bezpieczeństwo narodowe o profilu praktycznym prowadzonego w formie studiów  niestacjonarnych na Wydziale Nauk Społecznych i Technicznych Wyższej Szkoły Biznesu i Przedsiębiorczości w Ostrowcu Świętokrzyskim.</w:t>
            </w:r>
          </w:p>
          <w:p w:rsidR="00846CB7" w:rsidRDefault="00846CB7" w:rsidP="00762B46">
            <w:pPr>
              <w:tabs>
                <w:tab w:val="left" w:pos="1134"/>
              </w:tabs>
              <w:ind w:left="22" w:right="503"/>
              <w:jc w:val="both"/>
              <w:rPr>
                <w:rFonts w:ascii="Arial" w:eastAsia="Arial" w:hAnsi="Arial" w:cs="Arial"/>
                <w:color w:val="000000"/>
                <w:sz w:val="20"/>
                <w:szCs w:val="20"/>
              </w:rPr>
            </w:pPr>
            <w:r>
              <w:rPr>
                <w:rFonts w:ascii="Arial" w:eastAsia="Arial" w:hAnsi="Arial" w:cs="Arial"/>
                <w:color w:val="000000"/>
                <w:sz w:val="20"/>
                <w:szCs w:val="20"/>
              </w:rPr>
              <w:t xml:space="preserve"> </w:t>
            </w: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Recenzje na potrzeby czasopism i wydawnictw:</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„Zarządzanie ryzykiem i ocena znaczenia zmiany w  nowoczesnych technologiach i urządzeniach technicznych”</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„Nowa metoda oceny ryzyka zawodowego - Risk Analysis”</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„Bezpieczeństwo i ochrona w komunikacji lotniczej – technologie w obliczu nowych zagrożeń”</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„Odpowiedzialność prawna z tytułu nieodpowiedniego zabezpieczenia sprzętu IT przed promieniowaniem swobodnie eksponującym”</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„Nowoczesne technologie w Służbie Więziennej. System dozoru elektronicznego.”</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„Robotyka bezpieczeństwa i ratownictwa jako nowy”</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„Bezpieczeństwo uprawiania narciarstwa zjazdowego a symulatory jazdy na nartach”</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„Polityka Unii Europejskiej w zakresie przeciwdziałania dezinformacji przed wyborami do Parlamentu Europejskiego w 2019 roku”</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„Przysposobienie wojskowe w województwie wołyńskim w latach 1921-1939”</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„Aspekty polityczne kształcenia oficerów PWM w ośrodkach szkoleniowych Royal Navy i ich rola w kreowaniu systemu bezpieczeństwa morskiego państwa w XX wieku. cz.II”.</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„Fenomen prywatnych firm wojskowych i ochrony wobec globalnych wyzwań dla bezpieczeństwa”.</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„Kształcenie językowe jako istotny element edukacji żołnierzy Sił Zbrojnych Rzeczypospolitej Polskiej”</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Teoria i Praktyka, e-ISSN 2451-0718, ISSN 1899-6264 – 1-10.07.2020 – recenzja artkułu pt. „Państwowe Ratownictwo Medyczne w Systemie Bezpieczeństwa Narodowego”</w:t>
            </w:r>
          </w:p>
          <w:p w:rsidR="00846CB7" w:rsidRP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Bezpieczeństwo Teoria i Praktyka, e-ISSN 2451-0718, ISSN 1899-6264 – 1-10.07.2020 – recenzja artkułu pt. </w:t>
            </w:r>
            <w:r w:rsidRPr="00846CB7">
              <w:rPr>
                <w:rFonts w:ascii="Arial" w:eastAsia="Arial" w:hAnsi="Arial" w:cs="Arial"/>
                <w:color w:val="000000"/>
                <w:sz w:val="20"/>
                <w:szCs w:val="20"/>
                <w:lang w:val="en-US"/>
              </w:rPr>
              <w:t>„Special Use of Firearms by Polish Services and the Right to Life: a Critical Overview of the Legal Provisions, Against the Backdrop of the Concept of Safety and Human Rights”</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Instytut Wydawniczy EuroPrawo – 27.10.2020 – recenzja monografii „Zapobieganie i zwalczanie przestępczości przy wykorzystaniu nowoczesnych systemów analizy danych”</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Internal Security Journal – 28.04.2020 - recenzja artykułu pt. </w:t>
            </w:r>
            <w:r>
              <w:rPr>
                <w:rFonts w:ascii="Arial" w:eastAsia="Arial" w:hAnsi="Arial" w:cs="Arial"/>
                <w:color w:val="000000"/>
                <w:sz w:val="20"/>
                <w:szCs w:val="20"/>
              </w:rPr>
              <w:t>„O symulatorze działań Policji w sytuacjach kryzysowych w kontekście badań ewaluacyjnych przeprowadzonych w Wyższej Szkole Policji w Szczytnie w latach 2014-2019”</w:t>
            </w:r>
          </w:p>
          <w:p w:rsidR="00846CB7" w:rsidRP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Przegląd Europejski – 29.11.2021 – recenzja artykułu pt. </w:t>
            </w:r>
            <w:r w:rsidRPr="00846CB7">
              <w:rPr>
                <w:rFonts w:ascii="Arial" w:eastAsia="Arial" w:hAnsi="Arial" w:cs="Arial"/>
                <w:color w:val="000000"/>
                <w:sz w:val="20"/>
                <w:szCs w:val="20"/>
                <w:lang w:val="en-US"/>
              </w:rPr>
              <w:t>„Release the Bots of War: Social Media and Artificial Intelligence as International Cyber Attack”</w:t>
            </w:r>
          </w:p>
          <w:p w:rsidR="00846CB7" w:rsidRP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Zeszyty naukowe SGSP – 8.03.2021- – recenzja artykułu pt. </w:t>
            </w:r>
            <w:r w:rsidRPr="00846CB7">
              <w:rPr>
                <w:rFonts w:ascii="Arial" w:eastAsia="Arial" w:hAnsi="Arial" w:cs="Arial"/>
                <w:color w:val="000000"/>
                <w:sz w:val="20"/>
                <w:szCs w:val="20"/>
                <w:lang w:val="en-US"/>
              </w:rPr>
              <w:t>„General concept of re-framing urban resilience”</w:t>
            </w:r>
          </w:p>
          <w:p w:rsidR="00846CB7" w:rsidRDefault="00846CB7" w:rsidP="00762B46">
            <w:pPr>
              <w:numPr>
                <w:ilvl w:val="0"/>
                <w:numId w:val="1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Zeszyty naukowe SGSP – 23.11.2021- – recenzja artykułu pt. „Diagnoza potrzeb w zakresie usprawnienia technologii i sprzętu służącego reagowaniu na incydenty o charakterze CBRN. Zarys problemu z perspektywy europejskich straży pożarnych”</w:t>
            </w:r>
          </w:p>
          <w:p w:rsidR="00846CB7" w:rsidRDefault="00846CB7" w:rsidP="00762B46">
            <w:pPr>
              <w:tabs>
                <w:tab w:val="left" w:pos="1134"/>
              </w:tabs>
              <w:ind w:left="22" w:right="503"/>
              <w:jc w:val="both"/>
              <w:rPr>
                <w:rFonts w:ascii="Arial" w:eastAsia="Arial" w:hAnsi="Arial" w:cs="Arial"/>
                <w:sz w:val="20"/>
                <w:szCs w:val="20"/>
              </w:rPr>
            </w:pPr>
          </w:p>
          <w:p w:rsidR="00846CB7" w:rsidRDefault="00846CB7" w:rsidP="00762B46">
            <w:pPr>
              <w:tabs>
                <w:tab w:val="left" w:pos="1134"/>
              </w:tabs>
              <w:ind w:left="22" w:right="503"/>
              <w:jc w:val="both"/>
              <w:rPr>
                <w:rFonts w:ascii="Arial" w:eastAsia="Arial" w:hAnsi="Arial" w:cs="Arial"/>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Komisje:</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1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komisji doktorskiej Piotra Banasiaka, Akademia Sztuki Wojennej, Warszawa, 2019.</w:t>
            </w:r>
          </w:p>
          <w:p w:rsidR="00846CB7" w:rsidRDefault="00846CB7" w:rsidP="00762B46">
            <w:pPr>
              <w:numPr>
                <w:ilvl w:val="0"/>
                <w:numId w:val="1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komisji doktorskiej Mirosława Kuświk, Akademia Sztuki Wojennej, Warszawa, 2020.</w:t>
            </w:r>
          </w:p>
          <w:p w:rsidR="00846CB7" w:rsidRDefault="00846CB7" w:rsidP="00762B46">
            <w:pPr>
              <w:numPr>
                <w:ilvl w:val="0"/>
                <w:numId w:val="1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komisji habilitacyjnej dra Mariana Lutostańskiego w ramach postępowania habilitacyjnego, 03 września 2019 r., prowadzonego przez Radę Wydziału Bezpieczeństwa Wewnętrznego Wyższej Szkoły Policji w Szczytnie (Uchwała Rady WBW nr 71 dnia 22.12.2016 r.).</w:t>
            </w:r>
          </w:p>
          <w:p w:rsidR="00846CB7" w:rsidRDefault="00846CB7" w:rsidP="00762B46">
            <w:pPr>
              <w:numPr>
                <w:ilvl w:val="0"/>
                <w:numId w:val="1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Komisji rozprawy doktorskiej mgr. Daniela Mieniewskiego, WNPiSM UW, 30 września 2021 r.</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Publikacje:</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„Doświadczenia policji niemieckiej na bazie Word Cup 2006” - materiały pokonferencyjne „Podnoszenie kwalifikacji polskiej Policji do Euro 2012”, Szczytno 2009</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Gudzbeler G., „Służba cywilna w Policji – zarys wykładu”, Szczytno 2008, ISBN: 978-83-7462-156-4, - autor rozdziału „Środowisko informacyjne oraz stosowanie narzędzi informatycznych w jednostce Policji”,</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A. Urban, G. Gudzbeler , M. Nepelski, „A Prototype Simulator Of Police Operations In Crisis Situations”, materiały pokonferencyjne 24 th European Conference on Modeling and Simulati 2010,  Kualalumpur, Malezja 2010, współautor, 8 kol, ISBN 978-0-9564944-1-2; ISBN 978-0-9564944-0-5. indeksowane przez Scopus, EI Compendex</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Gudzbeler G., Siemianowski T., “Application </w:t>
            </w:r>
            <w:r>
              <w:rPr>
                <w:rFonts w:ascii="Arial" w:eastAsia="Arial" w:hAnsi="Arial" w:cs="Arial"/>
                <w:color w:val="000000"/>
                <w:sz w:val="20"/>
                <w:szCs w:val="20"/>
              </w:rPr>
              <w:t>о</w:t>
            </w:r>
            <w:r w:rsidRPr="00846CB7">
              <w:rPr>
                <w:rFonts w:ascii="Arial" w:eastAsia="Arial" w:hAnsi="Arial" w:cs="Arial"/>
                <w:color w:val="000000"/>
                <w:sz w:val="20"/>
                <w:szCs w:val="20"/>
                <w:lang w:val="en-US"/>
              </w:rPr>
              <w:t>f the fairyplay operation system to counter child pornography”, “Internal Security Jurnal” ISSN: 2080-5268, Szczytno 2010</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Gudzbeler G., Nepelski M., Urban A., “Modeling human behaviors in the context of constructing simulator of police operations in crisis situations”, ISBN: 978-1-4244-8870-4, Chengdu Chiny 2010</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Gudzbeler G., Siemianowski T.„Przestępczość teleinformatyczna - spojrzenie praktyków” Rozdział 3 „Zastosowanie systemu Operation Fairyplay w zakresie zwalczania pornografii dziecięcej”, Szczytno 2010</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Gudzbeler G., Nepelski M., Urban A., “HMB in the context of constructing simulator of police operations in crisis situations”, IEEE Xplore, IEEE CN: CFP1058L-PRT, Washington DC USA, indeksowane przez ISI Thompson i Ei Compendex</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Gudzbeler G., Nepelski M., Urban A., “Japanese Support System of Crisis Management Services”, “Internal Security Journal” ISSN: 2080-5268, Szczytno 2011</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G. Gudzbeler; M. Nepelski, A. Urban, SIMTECT Melbourne Australia 2011; ISBN 978-0-9808099-1-6; (red. </w:t>
            </w:r>
            <w:r>
              <w:rPr>
                <w:rFonts w:ascii="Arial" w:eastAsia="Arial" w:hAnsi="Arial" w:cs="Arial"/>
                <w:color w:val="000000"/>
                <w:sz w:val="20"/>
                <w:szCs w:val="20"/>
              </w:rPr>
              <w:t>Elyyssebeth Leigh); „New Technologies in Training Police Commanders”.</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Gudzbeler G., Nepelski M., Urban A. “Japoński system zarządzania kryzysowego”, „Policja” kwartalnik kadry kierowniczej Policji, ISSN 1640-980, Szczytno 2011</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Przestępczość Teleinformatyczna; ISBN 978-83-934456-0-8; (red. Jerzy Kosiński); Metody masowych kradzieży kont użytkowników gier online; G. Gudzbeler, Szczytno 2011; stron- 8</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Advances in Computer Science and Electronics Engineering (editor in chief R.K. Singh); ISBN: 978-981-07-1847-3; Human support for virtual simulation training; G. Gudzbeler, M. Nepelski, A. Urban; Research Publishing Services 2012; s. 145-148. </w:t>
            </w:r>
            <w:r>
              <w:rPr>
                <w:rFonts w:ascii="Arial" w:eastAsia="Arial" w:hAnsi="Arial" w:cs="Arial"/>
                <w:color w:val="000000"/>
                <w:sz w:val="20"/>
                <w:szCs w:val="20"/>
              </w:rPr>
              <w:t>5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lastRenderedPageBreak/>
              <w:t xml:space="preserve">Advances in Computer Science and Engineering (Editor: M.H. Hamza); ISBN: 978-0-88986-911-0; Application of simulation systems in training security services; G. Gudzbeler; M. Nepelski, A. Urban, ACTA Press 2012; stron 5. </w:t>
            </w:r>
            <w:r>
              <w:rPr>
                <w:rFonts w:ascii="Arial" w:eastAsia="Arial" w:hAnsi="Arial" w:cs="Arial"/>
                <w:color w:val="000000"/>
                <w:sz w:val="20"/>
                <w:szCs w:val="20"/>
              </w:rPr>
              <w:t>5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G.Gudzbeler, A. Urban, M. Nepelski, SIMULATION OF POLICE ACTIONS AND OPERATIONS, Journal of Physical Science and Applications,  EL MONTE, USA, [ISSN:2159-5348], indeksowane przez: Library of U.S Congress; Database of EBSCO, USA;  Cambridge Science Abstracts (CSA); Ulrich’s Periodicals Directory; Chinese Scientific Journals Database, VIP Corporation, Chongqing, China; Chinese Database of CEPS, American Federal Computer Library center (OCLC), USA; Excellent paper in ERIC; 2012;  VOl 2. numer artykułu 5; s. 103-110. </w:t>
            </w:r>
            <w:r>
              <w:rPr>
                <w:rFonts w:ascii="Arial" w:eastAsia="Arial" w:hAnsi="Arial" w:cs="Arial"/>
                <w:color w:val="000000"/>
                <w:sz w:val="20"/>
                <w:szCs w:val="20"/>
              </w:rPr>
              <w:t>4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G. Gudzbeler, K. Łojek, A. Urban; International Journal of Computer and Communication Engineering; ISSN 2010-3743, Aspects of visualizatnion in vehicle simulators; Vol 1, No 4, Grudzień 2012, s. 416-219. </w:t>
            </w:r>
            <w:r>
              <w:rPr>
                <w:rFonts w:ascii="Arial" w:eastAsia="Arial" w:hAnsi="Arial" w:cs="Arial"/>
                <w:color w:val="000000"/>
                <w:sz w:val="20"/>
                <w:szCs w:val="20"/>
              </w:rPr>
              <w:t>4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Systemy Teleinformatyczne w Zarządzaniu Kryzysowym; ISBN 978-83-7523-201-1; Modelowanie zachowań ludzkich na potrzeby działań w sytuacjach kryzysowych; G. Gudzbeler, S. Górski; s. 88-95; Warszawa 2012, 4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Warszawa 2012, S-8383, “Zastosowanie trenażerów w szkoleniu kadr dowódczych Policji”, rozprawa doktorska; G. Gudzbeler, stron 188, 20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A. Urban; Lecture notes in Engineering and Computer Science; ISSN: 2078-0958; “Validation of projection systems for vehicle simulator”; VOL 2, 2012, SJR 0.18, 4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A. Urban; “Validation of projection systems for vehicle simulator”; World Congress on Engineering and Computer Sciences 2012; IAENG 2012; ISBN: 978-988-192252-4-4, 5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Modelowanie i symulacje w działaniach Policji, Państwo, administracja, policja; Wydawnictwo WSPol, ISBN: 978-83-7462-321-6, Szczytno 2012; 4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G. Gudzbeler, A. Urban; “Impact of projection systems for vehicle simulators on symptoms of simulator”; The 25th european modeling &amp; simulation symposium 2013; Curran Associates Inc., NY USA; ISBN 978-88-97999-16-4; red. </w:t>
            </w:r>
            <w:r>
              <w:rPr>
                <w:rFonts w:ascii="Arial" w:eastAsia="Arial" w:hAnsi="Arial" w:cs="Arial"/>
                <w:color w:val="000000"/>
                <w:sz w:val="20"/>
                <w:szCs w:val="20"/>
              </w:rPr>
              <w:t xml:space="preserve">Bruzzone, Jimenez, Longo, Merkuryev, 5 pkt. </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G.Gudzbeler, J. Jurczak; “The House — European Major Events Security”; Internal Security Journal”; Vol 5 Iss 2; ISSN: 2080-5268, Szczytno 2014, 8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Grzegorz Gudzbeler, Andrzej Urban, Mariusz Nepelski; „Human Support for Virtual Simulation Training”; International Journal of  Computer Science and its Applications; s. 37-40; vol. 2; 2012, 5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Grzegorz Gudzbeler, Mariusz Dąbrowski, Andrzej Urban; Praktyczne aspekty wykorzystania symulatora działań Policji w sytuacjach kryzysowych, Wydawnictwo WSPol, ISBN: 9788374624008, Wydawnictwo Wyższej Szkoły Policji, 2014 r., stron 150, format B5, 20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P. Jastrzębski, Z. Adamiak, A. Pomoianowski, W. Krystkiewicz, P. Holak, S. Sawicki, P. Przyborowska, Y. Zhalniarovich; Response of the coagulation system after the application of hemostatic dressings in an animal model, Pol. J Vet Sci w Vol. 17, nr 4, 2014r (20 pkt.), ISSN: 1505-1773, IF 0,604, 20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A. Urban – Emergency Vehicle Driving Simulator for Typical and Extreme Conditions; Internal Security Journal Vol 6 Iss 2; ISSN: 2080-5268, Szczytno 2014; DOI: 10.5604/20805268.1157192, 8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M. Dąbrowski – Integrated Simulation Platform for Crisis Management – the Concept of its Construction and Use in the Field of Training; Internal Security Journal Vol 6 Iss 2; ISSN: 2080-5268, Szczytno 2014; DOI: 10.5604/20805268.1157194, 8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M. Nepelski, New technologies in security on the example privileged vehicles driving simulator [w]: Prawo i Postępowanie Administracyjne Nr 1(11)/2015, Czasopismo naukowe wydawane przez Narodowy Uniwersytet imienia Tarasa Szewczenki w Kijowie, Ukraina 2015, ISNN 2227-796X. 4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G. Gudzbeler, A. Urban, A. Bortkiewicz, M. Dąbrowski - Wpływ poruszania się pojazdami dostosowanymi do ruchu lewostronnego (RHD) w ruchu prawostronnym na bezpieczeństwo ruchu drogowego w Polsce, Transport miejski i Regionalny nr 3/2015, ISSN 1732-5153. 7 pkt. </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M. Nepelski - Zintegrowana Platforma Symulacyjna Podmiotów Zarządzania Kryzysowego – spójne środowisko wirtualne, Bezpieczeństwo i Technika Pożarnicza (Safety and Fire Technique), vol. 38 issue 2, lipiec 2015, Wydawnictwa CNBOP-PIB, ISSN 1895-8443. 13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lastRenderedPageBreak/>
              <w:t>G. Gudzbeler, M. Dąbrowski, G. Borowik - Application of Collimated Projection Systems for the Purpose of Driving Simulators, 2015 Asia-Pacific Conference on Computer Aided System Engineering – APCASE 2015, Quito, Ecuador, ISBN:  978-1-4799-7588-4, 14-16, July 2015, DOI: 10.1109/APCASE.2015.61, 15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Z. Adamiak, D. Bukowiecka, P. Jastrzębski, M. Jałyński, P. Holak, J. Głodek;  The effectiveness of modified seton and modified combat gauze in controlling severe hemorrhaging during the operations of the uniformed services; Pol. J Vet Sci Vol. 19, No. 3 (2016), 503–507; July 2016; DOI 10.1515/pjvs-2016-0063, ISSN: 1505-1773, IF 0,697, 20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J. Dworzecki; System eCall jako nowy instrument poprawy bezpieczeństwa ruchu drogowego w Unii Europejskiej; Prace Naukowe Akademii im. Jana Długosza w Częstochowie: Technika, Informatyka, Inżynieria Bezpieczeństwa; tom IV, str. 119-129; ISSN 2300-5343, Częstochowa 2016. 7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K. Jałoszyńki - Ocena własności funkcjonalnych symulatorów pojazdów oraz nowoczesnych systemów projekcji – badania porównawcze; Kultura Bezpieczeństwa nr 25, 2017; s. 106-134; DOI 10.24356/KB/25/4; ISSN:2353-6608; 4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Wirtualny system doskonalenia taktyki działań interwencyjnych służb odpowiedzialnych za bezpieczeństwo i treningu strzeleckiego, Przegląd Naukowo - Metodyczny. Edukacja dla Bezpieczeństwa, ISSN 1899-3524, 9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J. Struniawski - Functional assumptions of virtual system to improve shooting training and intervention tactics of services responsible for security (VirtPol), SPIE Proceedings Vol. 10445, Photonics Applications in Astronomy, Communications, Industry, and High Energy Physics Experiments 2017, 104456M (2017/08/07); doi: 10.1117/12.2281622, SRJ 0.23, 15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J. Struniawski - Methodology of shooting training using modern IT techniques, SPIE Proceedings Vol. 10445, Photonics Applications in Astronomy, Communications, Industry, and High Energy Physics Experiments 2017, 104456L (2017/08/07); doi: 10.1117/12.2281618, SRJ 0.23, 15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J. Struniawski, Wirtualny system doskonalenia taktyki działań interwencyjnych służb odpowiedzialnych za bezpieczeństwo i treningu strzeleckiego (virtpol) - architektura systemu; Przegląd naukowo-metodyczny, nr 2 (35) 2017, Poznań, Tytuł: Edukacja dla bezpieczeństwa, Wydawnictwo Wyższej Szkoły Bezpieczeństwa w Poznaniu   ISSN: 1899-3524, s. 187-198, 9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M. Nepelski, D. Hryszkiewicz; Information management on the example of features of IT System “Sindbad”; Proceedings of the European Modeling and Simulation Symposium, 2017 ISBN 978-88-97999-85-0; Affenzeller, Bruzzone, Jiménez, Longo and Piera Eds., str. 110-116, 5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J. Struniawski, Methodology of shooting training using modern IT techniques; Proceedings of the International Defense and Homeland Security Simulation Workshop, 2017, ISBN 978-88-97999-90-4; Bruzzone, Cayirci and Sottilare Eds., Str 83-89., 5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Grzegorz Gudzbeler, Mariusz Nepelski, Paweł Ciszek, Monika Gęga, „Charakterystyka systemu informatycznego SINDBAD”, rozdział 8 w monografii „Komunikacja i kultura organizacyjna w służbach podległych MSWIA”, Warszawa 2018. 5 pkt.</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Grzegorz Gudzbeler, Władysław Przyjemski, Mariusz Nepelski, „Zastosowanie konstruktywnych systemów symulacyjnych w szkoleniu i doskonaleniu zawodowym kadr logistyki”</w:t>
            </w:r>
            <w:r>
              <w:rPr>
                <w:rFonts w:ascii="Arial" w:eastAsia="Arial" w:hAnsi="Arial" w:cs="Arial"/>
                <w:color w:val="000000"/>
                <w:sz w:val="20"/>
                <w:szCs w:val="20"/>
              </w:rPr>
              <w:tab/>
              <w:t>, Przedsiębiorczość i zarządzanie, ISSN: 2543-8190, Łódź 2018. 14 pkt. t. 19, z. 2, cz. 3 Bezpieczeństwo zintegrowane współczesnej Polski | 167-178</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 Gudzbeler, „Symulatory pojazdów w procesie szkolenia podmiotów odpowiedzialnych za bezpieczeństwo wewnętrzne” ISBN 978-83-8085-772-8, DIFIN 2018. 25 pkt.</w:t>
            </w:r>
          </w:p>
          <w:p w:rsidR="00846CB7" w:rsidRP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Gudzbeler, G., Dobrowolska-Opała, M., European sensor system for CBRN applications, 9th International Defense and Homeland Security Simulation Workshop, 2019, s. 16-22, cal-tech.eu</w:t>
            </w:r>
          </w:p>
          <w:p w:rsidR="00846CB7" w:rsidRDefault="00846CB7" w:rsidP="00762B46">
            <w:pPr>
              <w:numPr>
                <w:ilvl w:val="0"/>
                <w:numId w:val="4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Gudzbeler, Grzegorz &amp; Liu, Jie &amp; Chaczko, Zenon &amp; Braun, Robin. </w:t>
            </w:r>
            <w:r w:rsidRPr="00846CB7">
              <w:rPr>
                <w:rFonts w:ascii="Arial" w:eastAsia="Arial" w:hAnsi="Arial" w:cs="Arial"/>
                <w:color w:val="000000"/>
                <w:sz w:val="20"/>
                <w:szCs w:val="20"/>
                <w:lang w:val="en-US"/>
              </w:rPr>
              <w:t xml:space="preserve">(2019). Collaborative RFID Agent Simulation in Dynamic Environment. 2019 18th International Conference on Information Technology Based Higher Education and Training (ITHET), IEEE-Xplore Library, 1-4. </w:t>
            </w:r>
            <w:r>
              <w:rPr>
                <w:rFonts w:ascii="Arial" w:eastAsia="Arial" w:hAnsi="Arial" w:cs="Arial"/>
                <w:color w:val="000000"/>
                <w:sz w:val="20"/>
                <w:szCs w:val="20"/>
              </w:rPr>
              <w:t>10.1109/ITHET46829.2019.8937346. ISSN: 2380-1603, 20 pkt.</w:t>
            </w:r>
          </w:p>
          <w:p w:rsidR="00846CB7" w:rsidRPr="00846CB7" w:rsidRDefault="00846CB7" w:rsidP="00762B46">
            <w:pPr>
              <w:numPr>
                <w:ilvl w:val="0"/>
                <w:numId w:val="46"/>
              </w:numPr>
              <w:tabs>
                <w:tab w:val="left" w:pos="1134"/>
              </w:tabs>
              <w:spacing w:after="0" w:line="240" w:lineRule="auto"/>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Gudzbeler, Grzegorz &amp; Chaczko, Zenon &amp; Kulbacki, Marek &amp; Alsawwaf, Mohammad &amp; Thai-Chyzhykau, Ilya &amp; Wajs-Chaczko, Peter. </w:t>
            </w:r>
            <w:r w:rsidRPr="00846CB7">
              <w:rPr>
                <w:rFonts w:ascii="Arial" w:eastAsia="Arial" w:hAnsi="Arial" w:cs="Arial"/>
                <w:color w:val="000000"/>
                <w:sz w:val="20"/>
                <w:szCs w:val="20"/>
                <w:lang w:val="en-US"/>
              </w:rPr>
              <w:t>(2020). Exploration of Explainable AI in Context of Human-Machine Interface for the Assistive Driving System. Lecture Notes in Artificial Intelligence, Springer Nature Switzerland AG, 10.1007/978-3-030-42058-1_42, 20 pkt.</w:t>
            </w:r>
          </w:p>
          <w:p w:rsidR="00846CB7" w:rsidRPr="00846CB7" w:rsidRDefault="00846CB7" w:rsidP="00762B46">
            <w:pPr>
              <w:numPr>
                <w:ilvl w:val="0"/>
                <w:numId w:val="46"/>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lastRenderedPageBreak/>
              <w:t>M. Dobrowolska-Opała, G. Gudzbeler, Selection of training methods in systems dedicated to detection of chemical hazards, Proceedings of the 19th International Conference on Modeling &amp; Applied Simulation (MAS 2020), ISBN: 978-88-85741-48-5.</w:t>
            </w:r>
          </w:p>
          <w:p w:rsidR="00846CB7" w:rsidRPr="00846CB7" w:rsidRDefault="00846CB7" w:rsidP="00762B46">
            <w:pPr>
              <w:numPr>
                <w:ilvl w:val="0"/>
                <w:numId w:val="46"/>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Dobrowolska-Opała, M., Gudzbeler, G. (2019) European sensor system for CBRN applications, Proceedings of the 9th International Defense and Homeland Security Simulation Workshop, DHSS 2019, pp. 16-22. </w:t>
            </w:r>
          </w:p>
          <w:p w:rsidR="00846CB7" w:rsidRPr="00846CB7" w:rsidRDefault="00846CB7" w:rsidP="00762B46">
            <w:pPr>
              <w:numPr>
                <w:ilvl w:val="0"/>
                <w:numId w:val="46"/>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G. Gudzbeler, Gawlik-Kobylińska M., Urban M., Misiuk A., Simulation-based training in the use of the EU-SENSE CBRN reconnaissance device, Proceedings of the 11th International Defense and Homeland Security Simulation Workshop (DHSS 2021), Conference ISSN: 2724-0363, Volume ISBN: 978-88-85741-63-8, DOI: 10.46354/i3m.2021.dhss.006.</w:t>
            </w:r>
          </w:p>
          <w:p w:rsidR="00846CB7" w:rsidRPr="00846CB7" w:rsidRDefault="00846CB7" w:rsidP="00762B46">
            <w:pPr>
              <w:numPr>
                <w:ilvl w:val="0"/>
                <w:numId w:val="46"/>
              </w:numPr>
              <w:tabs>
                <w:tab w:val="left" w:pos="1134"/>
              </w:tabs>
              <w:spacing w:after="0" w:line="240" w:lineRule="auto"/>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Gawlik-Kobylińska, M., Gudzbeler, G., Szklarski, Ł., Kopp, N., Koch-Eschweiler, H., &amp; Urban, M. (2021). </w:t>
            </w:r>
            <w:r w:rsidRPr="00846CB7">
              <w:rPr>
                <w:rFonts w:ascii="Arial" w:eastAsia="Arial" w:hAnsi="Arial" w:cs="Arial"/>
                <w:color w:val="000000"/>
                <w:sz w:val="20"/>
                <w:szCs w:val="20"/>
                <w:lang w:val="en-US"/>
              </w:rPr>
              <w:t>The EU-SENSE System for Chemical Hazards Detection, Identification, and Monitoring. Applied Sciences, 11(21), 10308. ISSN: 2076-3417, 5-Year Impact Factor: 2.736 (2020)  https://doi.org/10.3390/app112110308, 100 pkt(2021).</w:t>
            </w:r>
          </w:p>
          <w:p w:rsidR="00846CB7" w:rsidRDefault="00846CB7" w:rsidP="00762B46">
            <w:pPr>
              <w:numPr>
                <w:ilvl w:val="0"/>
                <w:numId w:val="4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51.</w:t>
            </w:r>
            <w:r>
              <w:rPr>
                <w:rFonts w:ascii="Arial" w:eastAsia="Arial" w:hAnsi="Arial" w:cs="Arial"/>
                <w:color w:val="000000"/>
                <w:sz w:val="20"/>
                <w:szCs w:val="20"/>
              </w:rPr>
              <w:tab/>
              <w:t>Grzegorz Gudzbeler,  Mariusz Nepelski,   Alicja Bortkiewicz,   prof. dr hab. Andrzej Misiuk,   Mariusz Dąbrowski; Bezpieczeństwo ruchu drogowego w zakresie zdarzeń drogowych z udziałem pojazdów autobusowej komunikacji publicznej;  ZN SGSP 2021; 1 (80): 117-144; DOI: 10.5604/01.3001.0015.6482</w:t>
            </w:r>
          </w:p>
          <w:p w:rsidR="00846CB7" w:rsidRDefault="00846CB7" w:rsidP="00762B46">
            <w:pPr>
              <w:tabs>
                <w:tab w:val="left" w:pos="1134"/>
              </w:tabs>
              <w:ind w:left="22" w:right="503"/>
              <w:jc w:val="both"/>
              <w:rPr>
                <w:rFonts w:ascii="Arial" w:eastAsia="Arial" w:hAnsi="Arial" w:cs="Arial"/>
                <w:b/>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Staże zagraniczne:</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1 - 4 czerwca 2010 r. wizyta studyjna i udział w licznych spotkaniach z przedstawicielami świata nauki i techniki w obszarze innowacyjnych technologii symulacyjnych w Kuala Lumpur w Malaysi, udział w konferencji 24 th European Conference on Modeling and Simulation, Kuala Lumpur Malaysia, referat „A Prototype Simulator Of Police Operations In Crisis Situations. Kuala Lumpur, Malaysia 2010.</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27 czerwca – 4 lipca 2010 r. szkolenie na symulatorze działań w sytuacjach kryzysowych (Office of Emergency Management, ADMS Training Centre), Nowy Jork, USA 2010.</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5 – 9 lipca 2010 r. szkolenie na symulatorze działań w sytuacjach kryzysowych (Sam Houston University, Law Enforcement Management Institute, Sam Houston Simulation Centre), Houston, USA 2010.</w:t>
            </w:r>
          </w:p>
          <w:p w:rsidR="00846CB7" w:rsidRP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15 – 23 maja 2011 udział w targach CIPATE - China International Police Antiterrorist Technical Exchibition, Pekin, Chiny 2011. </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15 – 23 maja 2011 wizyta studyjna i udział w spotkaniach w Biurze Bezpieczeństwa Publicznego Ministerstwa Spraw Wewnętrznych Chin, Pekin, Chiny 2011.</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15 – 23 maja 2011 wizyta studyjna i udział w spotkaniach z przedstawicielami organizatora olimpiady w Pekinie w roku 2008, Chińskiego Komitetu Olimpijskiego, osobami odpowiedzialnymi za bezpieczeństwo podczas olimpiady oraz aktualnie odpowiedzialnymi za bezpieczeństwo obiektów olimpijskich, Pekin, Chiny 2011.</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23 – 28 maja 2011 wizyta studyjna w Komendzie Głównej Policji w Hong Kongu oraz innych jednostek odpowiedzialnych za bezpieczeństwo imprez masowych w tym Key Points and Serach Division jednej z najlepszych jednostek tego typu na świecie, Hong Kong 2011.</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29 – 4 czerwca 2011 wizyta studyjna i udział w licznych spotkaniach z przedstawicielami świata nauki i techniki w obszarze innowacyjnych technologii symulacyjnych w Melbourne w Australii, udział w konferencji SimTecT 2011 Asia-Pacific Simulation and Training Conference And Exhibition  „Achieving Excellence In Training and Decision Support through Simulation”, wygłoszenie referatu pt. „New Technologies in Training Police Commanders”, Melbourne, Australia 2011.</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28 listopada - 01 grudnia 2011, wizyta studyjna i udział w licznych spotkaniach z przedstawicielami świata nauki i techniki w obszarze innowacyjnych technologii symulacyjnych w Orlando USA, udział w międzynarodowej konferencji modelowania i symulacji I/ITSEC 2011 w Orlando, Floryda USA.</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28 listopada - 01 grudnia 2011, udział w światowych targach modelowania i symulacji I/ITSEC 2011 w Orlando, Floryda USA. Prezentacja na stanowisku wystawowym Prototypu Symulatora Działań Policji w Sytuacjach Kryzysowych.</w:t>
            </w:r>
          </w:p>
          <w:p w:rsidR="00846CB7" w:rsidRP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27 marca – 5 kwietnia 2012 roku, wizyta studyjna i udział w licznych spotkaniach z przedstawicielami świata nauki i techniki w obszarze innowacyjnych rozwiązań symulacyjnych, systemów wsparcia decyzyjnego opartych o sieci rozproszone oraz </w:t>
            </w:r>
            <w:r>
              <w:rPr>
                <w:rFonts w:ascii="Arial" w:eastAsia="Arial" w:hAnsi="Arial" w:cs="Arial"/>
                <w:color w:val="000000"/>
                <w:sz w:val="20"/>
                <w:szCs w:val="20"/>
              </w:rPr>
              <w:lastRenderedPageBreak/>
              <w:t xml:space="preserve">systemów implementacji hybrydowych natywnych drzew decyzyjnych Bayesa w prognozowaniu, w Phuket, Tajlandia, udział w międzynarodowych konferencjach naukowych w ramach IASTED 2012: 1) -The 31st IASTED Asian Conference on Modelling, Identification, and Control AsiaMIC2012, 2) -The Seventh IASTED International Conference on Advances in Computer Science and Engineering ACSE2012. </w:t>
            </w:r>
            <w:r w:rsidRPr="00846CB7">
              <w:rPr>
                <w:rFonts w:ascii="Arial" w:eastAsia="Arial" w:hAnsi="Arial" w:cs="Arial"/>
                <w:color w:val="000000"/>
                <w:sz w:val="20"/>
                <w:szCs w:val="20"/>
                <w:lang w:val="en-US"/>
              </w:rPr>
              <w:t>Wygłoszenie referatu otwierającego konferencję pt. “Application of Simulation Systems in Training Security Services”</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 xml:space="preserve">1-6 listopada 2012, staż policja bostońska – BPD; 3-4 listopada 2012 udział w ćwiczeniu antyterrorystycznym BOSTON URBAN SHIELD 2012; Boston, USA </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7-11.04.2014 Staż w Instituto Superior de Ciencias Policiaia e Seguranca Interna w Lisbonie (Portugalia).</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30 listopada - 5 grudnia 2014, udział w światowych targach modelowania i symulacji I/ITSEC 2014 w Orlando, Floryda USA. Prezentacja na stanowisku wystawowym projektu „Zintegrowana Platforma Symulacyjna Podmiotów Zarządzania Kryzysowego”, nr DOBR-BIO4/041/13177/2013.</w:t>
            </w:r>
          </w:p>
          <w:p w:rsidR="00846CB7" w:rsidRDefault="00846CB7" w:rsidP="00762B46">
            <w:pPr>
              <w:numPr>
                <w:ilvl w:val="0"/>
                <w:numId w:val="47"/>
              </w:numPr>
              <w:tabs>
                <w:tab w:val="left" w:pos="1134"/>
              </w:tabs>
              <w:spacing w:after="0" w:line="240" w:lineRule="auto"/>
              <w:ind w:left="382" w:right="503"/>
              <w:jc w:val="both"/>
              <w:rPr>
                <w:rFonts w:ascii="Arial" w:eastAsia="Arial" w:hAnsi="Arial" w:cs="Arial"/>
                <w:color w:val="000000"/>
                <w:sz w:val="20"/>
                <w:szCs w:val="20"/>
              </w:rPr>
            </w:pPr>
            <w:r>
              <w:rPr>
                <w:rFonts w:ascii="Arial" w:eastAsia="Arial" w:hAnsi="Arial" w:cs="Arial"/>
                <w:color w:val="000000"/>
                <w:sz w:val="20"/>
                <w:szCs w:val="20"/>
              </w:rPr>
              <w:t>30 listopada - 5 grudnia 2015, udział w światowych targach modelowania i symulacji I/ITSEC 2015 w Orlando, Floryda USA. Prezentacja na stanowisku wystawowym projektu „Zintegrowana Platforma Symulacyjna Podmiotów Zarządzania Kryzysowego”, nr DOBR-BIO4/041/13177/2013.</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Konferencje – wystąpienia:</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Międzynarodowe forum naukowe Polska – Japonia – Ambasada RP w Tokyo, organizator fundacja Perspektywy, 11 grudzień 2009, prezentacja.</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konferencji „CEPOl – Exchange programme 2009/2010”, 29-30 wrzesień 2009 – prowadzący panel, referat „Preparations of Polish Police for UEFA Euro Cup 2012”,  wystąpienie.</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5-6 maj 2010 - Seminarium naukowe Techniczne Aspekty Przestępczości Teleinformatycznej, Szczytno „Monitorowanie sieci P2P przy użyciu narzędzi FairyPlay”- współautorstwo wystąpienia i referatu.</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11-15 lipca 2010 - udział w konferencji EAAI Educational Advantages in Artificial Intelligence (edukacyjne korzyści z wykorzystania sztucznej inteligencji), Atlanta.</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1 - 4 czerwca 2010 r. udział w konferencji 24 th European Conference on Modeling and Simulation, Kuala Lumpur Malaysia, referat „A Prototype Simulator Of Police Operations In Crisis Situations. </w:t>
            </w:r>
            <w:r>
              <w:rPr>
                <w:rFonts w:ascii="Arial" w:eastAsia="Arial" w:hAnsi="Arial" w:cs="Arial"/>
                <w:color w:val="000000"/>
                <w:sz w:val="20"/>
                <w:szCs w:val="20"/>
              </w:rPr>
              <w:t>G. Gudzbeler, M. Nepelski, A. Urban – wystąpienie.</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10 – 16 lipca 2010 r. udział w międzynarodowej konferencji naukowej, Atlanta, USA (24th Conference on Artificial Intelligence AAAI 2010). G. Gudzbeler, M. Nepelski.</w:t>
            </w:r>
          </w:p>
          <w:p w:rsidR="00846CB7" w:rsidRP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16-18 listopada 2010 udział w konferencji SICUREZZA , ONZ (UNICRI)  “2010 - 2020, a challenging decade for global security”, referat “Challenges for euro cup 2012 - new technologies in training police commanders in the context of constructing simulator of police operations in crisis situations”, Mediolan – wystąpienie.</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11 luty 2011 – udział w warsztatach ,Sieciocentryczne systemy dowodzenia, WSPol Szczytno</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15-23 maja 2011 udział w konferencji - targach CIPATE (China International Police Antiterrorist Technical Exchibition, Pekin, Chiny.</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- 31 maj -2 czerwiec 2011 udział w konferencji SIMTECT 2011, referat “New Technologies in trainind police commanders”, Melbourne Australia, wystąpienie.</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4-6 lipca 2011 udział w konferencji „Evidence Based Policing”, Cambridge University, Wielka Brytania.</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12-14 października 2011, konferencja NTSPO (New Technologies in Safety and Public Order), WSPol. Szczytno, członek komitetu organizacyjnego.</w:t>
            </w:r>
          </w:p>
          <w:p w:rsidR="00846CB7" w:rsidRP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27.11 – 2.12 2011, udział w konferencji I/ITSEC 2011 (Modeling, Simulation and Training Conference) Orlando, USA.</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28 listopada - 01 grudnia 2011, udział w międzynarodowych targach modelowania i symulacji I/ITSEC 2011 w Orlando, Floryda USA. Prezentacja na stanowisku wystawowym Prototypu Symulatora Działań Policji w Sytuacjach Kryzysowych.</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11 stycznia 2012, sympozjum, Systemy teleinformatyczne w zarządzaniu kryzysowym, AON Warszawa, referat „Modelowanie i symulacja zachowań ludzkich na potrzeby działań w sytuacjach kryzysowych”.</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8 marca 2012 roku - udział w prezentacji projektu SECRICOM, Portsmouth, Wielka Brytania.</w:t>
            </w:r>
          </w:p>
          <w:p w:rsidR="00846CB7" w:rsidRDefault="00846CB7" w:rsidP="00762B46">
            <w:pPr>
              <w:numPr>
                <w:ilvl w:val="0"/>
                <w:numId w:val="4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13 marca 2012 roku, wystąpienie na „Warsztatach polsko – ukraińskich w zakresie zapewnienia bezpieczeństwa i porządku publicznego w rejonie przygranicznym w ramach przygotowań do ME UEFA EURO 2012”, referat „Symulator Działań Policji w Sytuachach Kryzysowych”, Szczytno.</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2 – 5 kwietnia 2012 roku, udział w  międzynarodowych konferencjach naukowych w ramach IASTED 2012, Phuket, Tajlandia 2012: 1) -The 31st IASTED Asian Conference on Modelling, Identification, and Control AsiaMIC2012, 2) -The Seventh IASTED International Conference on Advances in Computer Science and Engineering ACSE2012. Wygłoszenie referatu otwierającego konferencję pt. “Application of Simulation Systems in Training Security Services”.</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“Mobile Command Post”, Seminar on Major Events Security in Context of UEFA Euro Cup 2012, 25 kwietnia 2012, Szczytno, Poland, angielski.</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15-17 września 2012, International Conference on Information and Computer Technology ICICT2012, referat pt. </w:t>
            </w:r>
            <w:r>
              <w:rPr>
                <w:rFonts w:ascii="Arial" w:eastAsia="Arial" w:hAnsi="Arial" w:cs="Arial"/>
                <w:color w:val="000000"/>
                <w:sz w:val="20"/>
                <w:szCs w:val="20"/>
              </w:rPr>
              <w:t>“Aspects Of Visualization In Vehicle Simulators”, Pekin 2012</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24-26 październik 2012, World Congress on Engineering and Computer Science (WCECS'12), Berkeley University of California, San Francisco USA, wygłoszenie w ramach ICMSC International Conference on Modeling, Simulation and Control 2012 referatu pt. </w:t>
            </w:r>
            <w:r>
              <w:rPr>
                <w:rFonts w:ascii="Arial" w:eastAsia="Arial" w:hAnsi="Arial" w:cs="Arial"/>
                <w:color w:val="000000"/>
                <w:sz w:val="20"/>
                <w:szCs w:val="20"/>
              </w:rPr>
              <w:t>“Validation of projection systems for vehicle simulator”.</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1-2 września 2013, 2nd International Conference on Image, Vision and Computing (ICIVC 2013), referat „Evaluation Of Functional Parameters Of Vehicle Simulators”, Pekin, Chiny.</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4-5 wrzesień 2013, wykłady w Law School of People’s Public Security University of China dotyczące zagadnień symulacji w szkoleniu służb odpowiedzialnych za bezpieczeństwo.</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25-27.09.2013 25th European Modeling and Simulation Symposium, Ateny, Grecja, referat “Impact of projection systems for vehicle simulators on symptoms of simulator sickness”.</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12-13 czerwca 2014, wykład „Istota badań naukowych w obszarze bezpieczeństwa, źródła finansowania”, III międzynarodowa konferencja naukowa instytucje, grupy, jednostka w „human security”, Słupsk, organizator Akademia Pomorska.</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24 czerwiec 2014 wystąpienie „Symulator kierowania pojazdami uprzywilejowanymi w sytuacjach typowych i ekstremalnych”,  konferencja „Rola prac badawczo-rozwojowych w obszarze bezpieczeństwa wewnętrznego państwa – zakończenie i podsumowanie projektów realizowanych w ramach I konkursu NCBiR z obszaru bezpieczeństwo i obronność”, organizatorzy PPBW i BCBiR, wystąpienie wraz z prof. A. Urbanem.</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30 listopada - 5 grudnia 2014, udział w światowych targach modelowania i symulacji I/ITSEC 2014 w Orlando, Floryda USA. Prezentacja na stanowisku wystawowym projektu „Zintegrowana Platforma Symulacyjna Podmiotów Zarządzania Kryzysowego”, nr DOBR-BIO4/041/13177/2013.</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17 czerwiec 2015 r. Konferencja „Prace badawczo-rozwojowe w obszarze bezpieczeństwa wewnętrznego – nowe wyzwania, nowe perspektywy”,referat pt. „Zintegrowana Platforma Symulacyjna Podmiotów Zarządzania Kryzysowego”.</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14-16 lipiec 2015, APCASE'15: Quito, University of San Francisco, Ecuador, referat pt. “Application of Collimated Projection Systems for the Purpose of Driving Simulators”.</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30 listopada - 5 grudnia 2015, udział w światowych targach modelowania i symulacji I/ITSEC 2015 w Orlando, Floryda USA. Prezentacja na stanowisku wystawowym projektu „Zintegrowana Platforma Symulacyjna Podmiotów Zarządzania Kryzysowego”, nr DOBR-BIO4/041/13177/2013.</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11-12 maja 2016, konferencja pt. „Badania i innowacje w obszarze bezpieczeństwa – wymiana międzynarodowych doświadczeń”, Centrum Konferencyjnym Stadionu Narodowego w Warszawie, referat pt.”Wirtualny system doskonalenia taktyki działań interwencyjnych służb odpowiedzialnych za bezpieczeństwo i treningu strzeleckiego”.</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23-24 maja 2017 r., XXII Ogólnopolskie Forum Ratownictwa, Inowrocław, referat „Zastosowanie konstruktywnych systemów symulacyjnych w szkoleniu podmiotów zarządzania kryzysowego”.</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17-21 września 2017 r., 29th International Defence And Homeland Security Simulation Workshop (DHSS 2017) , Barcelona, referat “Methodology of shooting training using modern IT techniques”.</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lastRenderedPageBreak/>
              <w:t>10 – 13 listopada 2017 r., The Fifth Asia Pacific International Conference on Computer Assisted and System Engineering (APCASE 2017), Guilin, Chiny, referat „ Virtual shooting range as a tool supporting the process of professional training of police officers”.</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6 grudnia 2017 r., konferencja PPBW „Rola profilaktyki zintegrowanej w zapewnianiu bezpieczeństwa dzieci i młodzieży”, pałac Prymasowski w Warszawie.</w:t>
            </w:r>
          </w:p>
          <w:p w:rsid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15 marzec 2018, III Konferencja Zawodowa w Zespole Szkół Licealnych i Ekonomicznych nr 1 w Warszawie, referat „Zastosowanie konstruktywnych systemów symulacyjnych w szkoleniu i doskonaleniu zawodowym”.</w:t>
            </w:r>
          </w:p>
          <w:p w:rsidR="00846CB7" w:rsidRPr="00846CB7" w:rsidRDefault="00846CB7" w:rsidP="00762B46">
            <w:pPr>
              <w:numPr>
                <w:ilvl w:val="0"/>
                <w:numId w:val="31"/>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15 stycznia 2021, Data Science online conference, online.</w:t>
            </w:r>
          </w:p>
          <w:p w:rsidR="00846CB7" w:rsidRDefault="00846CB7" w:rsidP="00762B46">
            <w:pPr>
              <w:numPr>
                <w:ilvl w:val="0"/>
                <w:numId w:val="31"/>
              </w:numPr>
              <w:tabs>
                <w:tab w:val="left" w:pos="1134"/>
              </w:tabs>
              <w:spacing w:after="0" w:line="240" w:lineRule="auto"/>
              <w:ind w:left="360" w:right="503"/>
              <w:jc w:val="both"/>
              <w:rPr>
                <w:rFonts w:ascii="Arial" w:eastAsia="Arial" w:hAnsi="Arial" w:cs="Arial"/>
                <w:color w:val="000000"/>
                <w:sz w:val="20"/>
                <w:szCs w:val="20"/>
              </w:rPr>
            </w:pPr>
            <w:r>
              <w:rPr>
                <w:rFonts w:ascii="Arial" w:eastAsia="Arial" w:hAnsi="Arial" w:cs="Arial"/>
                <w:color w:val="000000"/>
                <w:sz w:val="20"/>
                <w:szCs w:val="20"/>
              </w:rPr>
              <w:t>18-20 stycznia 2021, AixSPACE Conference, online.</w:t>
            </w:r>
          </w:p>
          <w:p w:rsidR="00846CB7" w:rsidRPr="00846CB7" w:rsidRDefault="00846CB7" w:rsidP="00762B46">
            <w:pPr>
              <w:numPr>
                <w:ilvl w:val="0"/>
                <w:numId w:val="31"/>
              </w:numPr>
              <w:tabs>
                <w:tab w:val="left" w:pos="1134"/>
              </w:tabs>
              <w:spacing w:after="0" w:line="240" w:lineRule="auto"/>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15-17 września 2021, 11th International Defense and Homeland Security Simulation Workshop DHSS, online.</w:t>
            </w:r>
          </w:p>
          <w:p w:rsidR="00846CB7" w:rsidRPr="00846CB7" w:rsidRDefault="00846CB7" w:rsidP="00762B46">
            <w:pPr>
              <w:tabs>
                <w:tab w:val="left" w:pos="1134"/>
              </w:tabs>
              <w:ind w:right="503"/>
              <w:jc w:val="both"/>
              <w:rPr>
                <w:rFonts w:ascii="Arial" w:eastAsia="Arial" w:hAnsi="Arial" w:cs="Arial"/>
                <w:color w:val="000000"/>
                <w:sz w:val="20"/>
                <w:szCs w:val="20"/>
                <w:lang w:val="en-US"/>
              </w:rPr>
            </w:pPr>
          </w:p>
          <w:p w:rsidR="00846CB7" w:rsidRDefault="00846CB7" w:rsidP="00762B46">
            <w:pPr>
              <w:tabs>
                <w:tab w:val="left" w:pos="1134"/>
              </w:tabs>
              <w:ind w:right="503"/>
              <w:jc w:val="both"/>
              <w:rPr>
                <w:rFonts w:ascii="Arial" w:eastAsia="Arial" w:hAnsi="Arial" w:cs="Arial"/>
                <w:b/>
                <w:color w:val="000000"/>
                <w:sz w:val="20"/>
                <w:szCs w:val="20"/>
              </w:rPr>
            </w:pPr>
            <w:r>
              <w:rPr>
                <w:rFonts w:ascii="Arial" w:eastAsia="Arial" w:hAnsi="Arial" w:cs="Arial"/>
                <w:b/>
                <w:color w:val="000000"/>
                <w:sz w:val="20"/>
                <w:szCs w:val="20"/>
              </w:rPr>
              <w:t>Komitety naukowe:</w:t>
            </w:r>
          </w:p>
          <w:p w:rsidR="00846CB7" w:rsidRDefault="00846CB7" w:rsidP="00762B46">
            <w:pPr>
              <w:tabs>
                <w:tab w:val="left" w:pos="1134"/>
              </w:tabs>
              <w:spacing w:before="120"/>
              <w:ind w:right="503"/>
              <w:jc w:val="both"/>
              <w:rPr>
                <w:rFonts w:ascii="Arial" w:eastAsia="Arial" w:hAnsi="Arial" w:cs="Arial"/>
                <w:color w:val="000000"/>
                <w:sz w:val="20"/>
                <w:szCs w:val="20"/>
              </w:rPr>
            </w:pPr>
          </w:p>
          <w:p w:rsidR="00846CB7" w:rsidRPr="00846CB7" w:rsidRDefault="00846CB7" w:rsidP="00762B46">
            <w:pPr>
              <w:numPr>
                <w:ilvl w:val="3"/>
                <w:numId w:val="33"/>
              </w:numPr>
              <w:tabs>
                <w:tab w:val="left" w:pos="1134"/>
              </w:tabs>
              <w:spacing w:after="0" w:line="240" w:lineRule="auto"/>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17-18 wrzesień 2014 Paris, 3rd International Conference on Image, Vision and Computing, ICIVC 2014, Conference Technical Committee Member; IACSIT</w:t>
            </w:r>
          </w:p>
          <w:p w:rsidR="00846CB7" w:rsidRDefault="00846CB7" w:rsidP="00762B46">
            <w:pPr>
              <w:numPr>
                <w:ilvl w:val="3"/>
                <w:numId w:val="33"/>
              </w:numPr>
              <w:tabs>
                <w:tab w:val="left" w:pos="1134"/>
              </w:tabs>
              <w:spacing w:after="0" w:line="240" w:lineRule="auto"/>
              <w:ind w:left="360" w:right="503"/>
              <w:jc w:val="both"/>
              <w:rPr>
                <w:rFonts w:ascii="Arial" w:eastAsia="Arial" w:hAnsi="Arial" w:cs="Arial"/>
                <w:color w:val="000000"/>
                <w:sz w:val="20"/>
                <w:szCs w:val="20"/>
              </w:rPr>
            </w:pPr>
            <w:r>
              <w:rPr>
                <w:rFonts w:ascii="Arial" w:eastAsia="Arial" w:hAnsi="Arial" w:cs="Arial"/>
                <w:color w:val="000000"/>
                <w:sz w:val="20"/>
                <w:szCs w:val="20"/>
              </w:rPr>
              <w:t>5-7 czerwca 2013 Szczytno, Technologie w ochronie infrastruktury krytycznej - zewnętrznego kraju Unii Europejskiej; członek komitetu naukowego; WSPol</w:t>
            </w:r>
          </w:p>
          <w:p w:rsidR="00846CB7" w:rsidRDefault="00846CB7" w:rsidP="00762B46">
            <w:pPr>
              <w:numPr>
                <w:ilvl w:val="0"/>
                <w:numId w:val="3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23-24 wrzesień 2014 Szczytno, II Międzynarodowa Konferencja Zarządzania Ciągłością Działania; członek komitetu naukowego; BSI GP, WSPol</w:t>
            </w:r>
          </w:p>
          <w:p w:rsidR="00846CB7" w:rsidRDefault="00846CB7" w:rsidP="00762B46">
            <w:pPr>
              <w:numPr>
                <w:ilvl w:val="0"/>
                <w:numId w:val="3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4. 8-10 grudnia 2014 r. Szczytno, Nowoczesne Technologie w badaniach daktyloskopijnych, WSPol.</w:t>
            </w:r>
          </w:p>
          <w:p w:rsidR="00846CB7" w:rsidRDefault="00846CB7" w:rsidP="00762B46">
            <w:pPr>
              <w:numPr>
                <w:ilvl w:val="0"/>
                <w:numId w:val="3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23-24 maja 2017 r., XXII Ogólnopolskie Forum Ratownictwa, Inowrocław.</w:t>
            </w:r>
          </w:p>
          <w:p w:rsidR="00846CB7" w:rsidRDefault="00846CB7" w:rsidP="00762B46">
            <w:pPr>
              <w:numPr>
                <w:ilvl w:val="0"/>
                <w:numId w:val="3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23 kwietnia 2020 III Międzynarodowa konferencja naukowa Bezpieczeństwo, zarządzanie, medycyna i kultura fizyczna, Wyższa Szkołą Edukacja w Sporcie, Warszawa, komitet naukowy.</w:t>
            </w:r>
          </w:p>
          <w:p w:rsidR="00846CB7" w:rsidRDefault="00846CB7" w:rsidP="00762B46">
            <w:pPr>
              <w:tabs>
                <w:tab w:val="left" w:pos="1134"/>
              </w:tabs>
              <w:ind w:left="-2498"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b/>
                <w:color w:val="000000"/>
                <w:sz w:val="20"/>
                <w:szCs w:val="20"/>
              </w:rPr>
              <w:t>Kursy</w:t>
            </w:r>
            <w:r>
              <w:rPr>
                <w:rFonts w:ascii="Arial" w:eastAsia="Arial" w:hAnsi="Arial" w:cs="Arial"/>
                <w:color w:val="000000"/>
                <w:sz w:val="20"/>
                <w:szCs w:val="20"/>
              </w:rPr>
              <w:t>:</w:t>
            </w:r>
          </w:p>
          <w:p w:rsidR="00846CB7" w:rsidRDefault="00846CB7" w:rsidP="00762B46">
            <w:pPr>
              <w:tabs>
                <w:tab w:val="left" w:pos="1134"/>
              </w:tabs>
              <w:ind w:left="-2498" w:right="503"/>
              <w:jc w:val="both"/>
              <w:rPr>
                <w:rFonts w:ascii="Arial" w:eastAsia="Arial" w:hAnsi="Arial" w:cs="Arial"/>
                <w:color w:val="000000"/>
                <w:sz w:val="20"/>
                <w:szCs w:val="20"/>
              </w:rPr>
            </w:pP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kursie „Obsługa aplikacji CEL” Sieradz, 28-29 marzec,</w:t>
            </w: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szkoleniu „Warsztaty policyjnych wykładowców informatyki”, Legionowo 18-19 luty, 2008</w:t>
            </w: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„Szkolenie w zakresie ochrony informacji niejawnych” WSPol 13 marzec 2008</w:t>
            </w: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projekcie „Mentoring poprzez IT” realizowanym w ramach Inicjatywy Wspólnotowej EQUAL, marzec 2008</w:t>
            </w: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kursie „Administrowanie i obsługa e-lerningowej platformy IT-Transfer” 10-13 marzec 2008</w:t>
            </w:r>
          </w:p>
          <w:p w:rsidR="00846CB7" w:rsidRP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udział w kursie „Police experiences In the planning of major sports events during the FIFA World Cup 2006 with regard to the Euro 2012” 2-6 czerwiec 2008, Munster – Germany.</w:t>
            </w: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12-16 kwiecień 2010 - Udział w szkoleniu „Child abuse in cyberspace”, CEPOL,  Kopenhaga – Dania.</w:t>
            </w: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27 czerwca – 4 lipca 2010 r. szkolenie na symulatorze działań w sytuacjach kryzysowych Nowy Jork, USA (Office of Emergency Management, ADMS Training Centre).</w:t>
            </w:r>
          </w:p>
          <w:p w:rsidR="00846CB7" w:rsidRDefault="00846CB7" w:rsidP="00762B46">
            <w:pPr>
              <w:numPr>
                <w:ilvl w:val="0"/>
                <w:numId w:val="3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5 – 9 lipca 2010 r. szkolenie na symulatorze działań w sytuacjach kryzysowych Houston, USA (Sam Houston University, Law Enforcement Management Institute, Sam Houston Simulation Centre).</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Współpraca międzynarodowa:</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Współpraca z UNICRI ONZ w ramach przygotowań do projektu EUSEC II, październik – listopad 2007.</w:t>
            </w:r>
          </w:p>
          <w:p w:rsid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CEPOL – jako tutor w ramach projektu „CEPOL exchange programe 2009/2010” – listopad 2009/marzec 2010.</w:t>
            </w:r>
          </w:p>
          <w:p w:rsidR="00846CB7" w:rsidRP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Tokio Metropolitan Disaster Research Center - grudzień 2009.</w:t>
            </w:r>
          </w:p>
          <w:p w:rsidR="00846CB7" w:rsidRP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Jokohama Reaserch Institute for Earth Sciences - grudzień 2009.</w:t>
            </w:r>
          </w:p>
          <w:p w:rsid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Międzynarodowe forum naukowe Polska – Japonia – Ambasada RP w Tokyo, organizator fundacja Perspektywy, 11 grudzień 2009.</w:t>
            </w:r>
          </w:p>
          <w:p w:rsidR="00846CB7" w:rsidRP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Hyogo Earthquake Disaster Research Centre - grudzień 2009.</w:t>
            </w:r>
          </w:p>
          <w:p w:rsidR="00846CB7" w:rsidRP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Disasters Prevantion Reserch Institute Kyoto University - grudzień 2009.</w:t>
            </w:r>
          </w:p>
          <w:p w:rsidR="00846CB7" w:rsidRP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Japan National Research Institute for Earth Science and Disaster Prevention - grudzień 2009.</w:t>
            </w:r>
          </w:p>
          <w:p w:rsid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Sam Houston University – LEMIT - wizyta i udzial w szkoleniu – lipiec 2010.</w:t>
            </w:r>
          </w:p>
          <w:p w:rsid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Współpraca w ramach organizacji AAAI (Association for Artifical Inteligence), w tym udział w konferencji Atlanta, 11-15 lipca 2010</w:t>
            </w:r>
          </w:p>
          <w:p w:rsidR="00846CB7" w:rsidRPr="00846CB7" w:rsidRDefault="00846CB7" w:rsidP="00762B46">
            <w:pPr>
              <w:numPr>
                <w:ilvl w:val="0"/>
                <w:numId w:val="39"/>
              </w:numPr>
              <w:tabs>
                <w:tab w:val="left" w:pos="1134"/>
              </w:tabs>
              <w:spacing w:after="0" w:line="240" w:lineRule="auto"/>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Wspólpraca z University of Technology Sydney jako recenzent w Graduate Research School 04.2018 r.</w:t>
            </w:r>
          </w:p>
          <w:p w:rsidR="00846CB7" w:rsidRDefault="00846CB7" w:rsidP="00762B46">
            <w:pPr>
              <w:numPr>
                <w:ilvl w:val="0"/>
                <w:numId w:val="39"/>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Współpraca w ramach z University of Technology Sydney w ramach QS Global Academic Survey, od 20.01.2020.</w:t>
            </w:r>
          </w:p>
          <w:p w:rsidR="00846CB7" w:rsidRPr="00846CB7" w:rsidRDefault="00846CB7" w:rsidP="00762B46">
            <w:pPr>
              <w:numPr>
                <w:ilvl w:val="0"/>
                <w:numId w:val="39"/>
              </w:numPr>
              <w:tabs>
                <w:tab w:val="left" w:pos="1134"/>
              </w:tabs>
              <w:spacing w:after="0" w:line="240" w:lineRule="auto"/>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2013-03 członek IAENG (International Association of Engineers) (Member No: 125473), Canada</w:t>
            </w:r>
          </w:p>
          <w:p w:rsidR="00846CB7" w:rsidRPr="00846CB7" w:rsidRDefault="00846CB7" w:rsidP="00762B46">
            <w:pPr>
              <w:numPr>
                <w:ilvl w:val="0"/>
                <w:numId w:val="39"/>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2014-08- członek NDIA (National Defence Industrial Association - Los Angeles (LA)USA)</w:t>
            </w:r>
          </w:p>
          <w:p w:rsidR="00846CB7" w:rsidRPr="00846CB7" w:rsidRDefault="00846CB7" w:rsidP="00762B46">
            <w:pPr>
              <w:tabs>
                <w:tab w:val="left" w:pos="1134"/>
              </w:tabs>
              <w:ind w:left="-2836" w:right="503"/>
              <w:jc w:val="both"/>
              <w:rPr>
                <w:rFonts w:ascii="Arial" w:eastAsia="Arial" w:hAnsi="Arial" w:cs="Arial"/>
                <w:color w:val="000000"/>
                <w:sz w:val="20"/>
                <w:szCs w:val="20"/>
                <w:lang w:val="en-US"/>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Funkcje dodatkowe:</w:t>
            </w:r>
          </w:p>
          <w:p w:rsidR="00846CB7" w:rsidRDefault="00846CB7" w:rsidP="00762B46">
            <w:pPr>
              <w:tabs>
                <w:tab w:val="left" w:pos="1134"/>
              </w:tabs>
              <w:ind w:left="22" w:right="503"/>
              <w:jc w:val="both"/>
              <w:rPr>
                <w:rFonts w:ascii="Arial" w:eastAsia="Arial" w:hAnsi="Arial" w:cs="Arial"/>
                <w:b/>
                <w:color w:val="000000"/>
                <w:sz w:val="20"/>
                <w:szCs w:val="20"/>
              </w:rPr>
            </w:pPr>
          </w:p>
          <w:p w:rsidR="00846CB7" w:rsidRDefault="00846CB7" w:rsidP="00762B46">
            <w:pPr>
              <w:numPr>
                <w:ilvl w:val="0"/>
                <w:numId w:val="4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Członek Rady Naukowo-Technicznej przy KGP - </w:t>
            </w:r>
            <w:r>
              <w:rPr>
                <w:rFonts w:ascii="Arial" w:eastAsia="Arial" w:hAnsi="Arial" w:cs="Arial"/>
                <w:color w:val="000000"/>
                <w:sz w:val="20"/>
                <w:szCs w:val="20"/>
              </w:rPr>
              <w:tab/>
              <w:t>Decyzja nr 80 Komendanta Głównego Policji z dnia 21 lutego 2014 r. w sprawie powołania Rady Naukowo-Technicznej przy Komendancie Głównym Policji zmienionej decyzją nr 97 Komendanta Głównego Policji z dnia 27 lutego 2014 r.</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zespołu ds. identyfikacji kluczowych obszarów  badawczo – rozwojowych pozostających w zainteresowaniu Komendanta Głównego Policji - Uchwała Nr 2/2014 Rady Naukowo-Technicznej przy Komendancie Głównym Policji z dnia 8 kwietnia 2014 roku w sprawie powołania zespołu zadaniowego ds. identyfikacji kluczowych obszarów badawczo – rozwojowych pozostających w zainteresowaniu Komendanta Głównego Policji.</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Rady Naukowo-Technicznej przy Ministrze Spraw Wewnętrznych (od grudnia 2016 r.).</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zespołu eksperckiego programu strategicznego „Satelitarny system optoelektronicznej obserwacji Ziemi” Narodowego Centrum Badań i Rozwoju - Polskiej Agencji Kosmicznej od 23.12.2014 r.</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Rady Naukowo-Technicznej przy Ministrze Spraw Wewnętrznych (od września 2016 roku).</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Grupy Roboczej nr 14 „Sensory (w tym biosensory) i sieci sensorowe” ds. Krajowych Inteligentnych Specjalizacji w Ministerstwie Rozwoju - od kwietnia 2015 r. do grudnia 2019r.</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Grupy Roboczej nr 9 „Elektronika i Fotonika” ds. Krajowych Inteligentnych Specjalizacji w Ministerstwie Rozwoju - od stycznia 2020 r.</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Rady Naukowej czasopisma - Zeszyty Naukowe SGSP wydawanego przez Szkołę Główną Służby Pożarniczej.</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Ekspert Polskiej Komisji Akredytacyjnej, od 1 stycznia 2020 roku.</w:t>
            </w:r>
          </w:p>
          <w:p w:rsidR="00846CB7" w:rsidRDefault="00846CB7" w:rsidP="00762B46">
            <w:pPr>
              <w:numPr>
                <w:ilvl w:val="0"/>
                <w:numId w:val="6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Rady Naukowej Dyscypliny - Nauki o Polityce i Administracji oraz Nauki o Bezpieczeństwie, Uniwersytet Warszawski, od 24 lutego 2021 roku.</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tabs>
                <w:tab w:val="left" w:pos="1134"/>
              </w:tabs>
              <w:ind w:left="22" w:right="503"/>
              <w:jc w:val="both"/>
              <w:rPr>
                <w:rFonts w:ascii="Arial" w:eastAsia="Arial" w:hAnsi="Arial" w:cs="Arial"/>
                <w:b/>
                <w:color w:val="000000"/>
                <w:sz w:val="20"/>
                <w:szCs w:val="20"/>
              </w:rPr>
            </w:pPr>
            <w:r>
              <w:rPr>
                <w:rFonts w:ascii="Arial" w:eastAsia="Arial" w:hAnsi="Arial" w:cs="Arial"/>
                <w:b/>
                <w:color w:val="000000"/>
                <w:sz w:val="20"/>
                <w:szCs w:val="20"/>
              </w:rPr>
              <w:t>Propagowanie nauki – media:</w:t>
            </w:r>
          </w:p>
          <w:p w:rsidR="00846CB7" w:rsidRDefault="00846CB7" w:rsidP="00762B46">
            <w:pPr>
              <w:tabs>
                <w:tab w:val="left" w:pos="1134"/>
              </w:tabs>
              <w:ind w:left="22" w:right="503"/>
              <w:jc w:val="both"/>
              <w:rPr>
                <w:rFonts w:ascii="Arial" w:eastAsia="Arial" w:hAnsi="Arial" w:cs="Arial"/>
                <w:color w:val="000000"/>
                <w:sz w:val="20"/>
                <w:szCs w:val="20"/>
              </w:rPr>
            </w:pPr>
          </w:p>
          <w:p w:rsidR="00846CB7" w:rsidRDefault="00846CB7" w:rsidP="00762B46">
            <w:pPr>
              <w:numPr>
                <w:ilvl w:val="0"/>
                <w:numId w:val="6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2020-03-10 – 2020-04-22 – Polsat News, seria wywiadów dotyczących pandemii w programie Koronawirus w Polsce.</w:t>
            </w:r>
          </w:p>
          <w:p w:rsidR="00846CB7" w:rsidRDefault="00846CB7" w:rsidP="00762B46">
            <w:pPr>
              <w:numPr>
                <w:ilvl w:val="0"/>
                <w:numId w:val="6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2020-03-10 – Polsat News, wywiad na potrzeby artykułu, Odwołano wszystkie imprezy masowe. Co z kinami, teatrami i meczami?, https://www.polsatnews.pl/wiadomosc/2020-03-10/odwolano-wszystkie-imprezy-masowe-co-z-kinami-teatrami-i-meczami/</w:t>
            </w:r>
          </w:p>
          <w:p w:rsidR="00846CB7" w:rsidRDefault="00846CB7" w:rsidP="00762B46">
            <w:pPr>
              <w:numPr>
                <w:ilvl w:val="0"/>
                <w:numId w:val="6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2021-09-21 - Radio Zet, audycja Zet Gadget, temat: ZET GADŻET prof. Grzegorz Gudzbeler o cyberbezpieczeństwie w grach wideo i w sieci, https://player.radiozet.pl/Podcasty/ZET-Gadzet/prof.-Grzegorz-Gudzbeler-o-cyberbezpieczenstwie-w-grach-wideo-i-w-sieci</w:t>
            </w:r>
          </w:p>
          <w:p w:rsidR="00846CB7" w:rsidRDefault="00846CB7" w:rsidP="00762B46">
            <w:pPr>
              <w:numPr>
                <w:ilvl w:val="0"/>
                <w:numId w:val="6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2021 – seria wywiadów w tygodniku „Sieci”</w:t>
            </w: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sidRPr="008C3A1B">
              <w:rPr>
                <w:rFonts w:ascii="Arial" w:eastAsia="Arial" w:hAnsi="Arial" w:cs="Arial"/>
                <w:b/>
                <w:color w:val="000000"/>
                <w:sz w:val="20"/>
                <w:szCs w:val="20"/>
              </w:rPr>
              <w:t>dr hab. Daniel Mider</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A</w:t>
            </w:r>
            <w:r w:rsidRPr="00C34C37">
              <w:rPr>
                <w:rFonts w:ascii="Arial" w:eastAsia="Arial" w:hAnsi="Arial" w:cs="Arial"/>
                <w:color w:val="000000"/>
                <w:sz w:val="20"/>
                <w:szCs w:val="20"/>
              </w:rPr>
              <w:t>bsolwent Instytutu Nauk Politycznych UW (2003, studia ukończone</w:t>
            </w:r>
            <w:r>
              <w:rPr>
                <w:rFonts w:ascii="Arial" w:eastAsia="Arial" w:hAnsi="Arial" w:cs="Arial"/>
                <w:color w:val="000000"/>
                <w:sz w:val="20"/>
                <w:szCs w:val="20"/>
              </w:rPr>
              <w:t xml:space="preserve"> </w:t>
            </w:r>
            <w:r w:rsidRPr="00C34C37">
              <w:rPr>
                <w:rFonts w:ascii="Arial" w:eastAsia="Arial" w:hAnsi="Arial" w:cs="Arial"/>
                <w:color w:val="000000"/>
                <w:sz w:val="20"/>
                <w:szCs w:val="20"/>
              </w:rPr>
              <w:t>z</w:t>
            </w:r>
            <w:r>
              <w:rPr>
                <w:rFonts w:ascii="Arial" w:eastAsia="Arial" w:hAnsi="Arial" w:cs="Arial"/>
                <w:color w:val="000000"/>
                <w:sz w:val="20"/>
                <w:szCs w:val="20"/>
              </w:rPr>
              <w:t xml:space="preserve"> </w:t>
            </w:r>
            <w:r w:rsidRPr="00C34C37">
              <w:rPr>
                <w:rFonts w:ascii="Arial" w:eastAsia="Arial" w:hAnsi="Arial" w:cs="Arial"/>
                <w:color w:val="000000"/>
                <w:sz w:val="20"/>
                <w:szCs w:val="20"/>
              </w:rPr>
              <w:t>wyróżnieniem), doktor nauk humanistycznych w zakresie nauk o polityce (2008,</w:t>
            </w:r>
            <w:r>
              <w:rPr>
                <w:rFonts w:ascii="Arial" w:eastAsia="Arial" w:hAnsi="Arial" w:cs="Arial"/>
                <w:color w:val="000000"/>
                <w:sz w:val="20"/>
                <w:szCs w:val="20"/>
              </w:rPr>
              <w:t xml:space="preserve"> </w:t>
            </w:r>
            <w:r w:rsidRPr="00C34C37">
              <w:rPr>
                <w:rFonts w:ascii="Arial" w:eastAsia="Arial" w:hAnsi="Arial" w:cs="Arial"/>
                <w:color w:val="000000"/>
                <w:sz w:val="20"/>
                <w:szCs w:val="20"/>
              </w:rPr>
              <w:t>summa</w:t>
            </w:r>
            <w:r>
              <w:rPr>
                <w:rFonts w:ascii="Arial" w:eastAsia="Arial" w:hAnsi="Arial" w:cs="Arial"/>
                <w:color w:val="000000"/>
                <w:sz w:val="20"/>
                <w:szCs w:val="20"/>
              </w:rPr>
              <w:t xml:space="preserve"> </w:t>
            </w:r>
            <w:r w:rsidRPr="00C34C37">
              <w:rPr>
                <w:rFonts w:ascii="Arial" w:eastAsia="Arial" w:hAnsi="Arial" w:cs="Arial"/>
                <w:color w:val="000000"/>
                <w:sz w:val="20"/>
                <w:szCs w:val="20"/>
              </w:rPr>
              <w:t>cum laude), doktor habilitowany na podstawie dzieła pt.</w:t>
            </w:r>
            <w:r>
              <w:rPr>
                <w:rFonts w:ascii="Arial" w:eastAsia="Arial" w:hAnsi="Arial" w:cs="Arial"/>
                <w:color w:val="000000"/>
                <w:sz w:val="20"/>
                <w:szCs w:val="20"/>
              </w:rPr>
              <w:t xml:space="preserve"> </w:t>
            </w:r>
            <w:r w:rsidRPr="00C34C37">
              <w:rPr>
                <w:rFonts w:ascii="Arial" w:eastAsia="Arial" w:hAnsi="Arial" w:cs="Arial"/>
                <w:color w:val="000000"/>
                <w:sz w:val="20"/>
                <w:szCs w:val="20"/>
              </w:rPr>
              <w:t>Polacy wobec przemocy</w:t>
            </w:r>
            <w:r>
              <w:rPr>
                <w:rFonts w:ascii="Arial" w:eastAsia="Arial" w:hAnsi="Arial" w:cs="Arial"/>
                <w:color w:val="000000"/>
                <w:sz w:val="20"/>
                <w:szCs w:val="20"/>
              </w:rPr>
              <w:t xml:space="preserve"> </w:t>
            </w:r>
            <w:r w:rsidRPr="00C34C37">
              <w:rPr>
                <w:rFonts w:ascii="Arial" w:eastAsia="Arial" w:hAnsi="Arial" w:cs="Arial"/>
                <w:color w:val="000000"/>
                <w:sz w:val="20"/>
                <w:szCs w:val="20"/>
              </w:rPr>
              <w:t>politycznej</w:t>
            </w:r>
            <w:r>
              <w:rPr>
                <w:rFonts w:ascii="Arial" w:eastAsia="Arial" w:hAnsi="Arial" w:cs="Arial"/>
                <w:color w:val="000000"/>
                <w:sz w:val="20"/>
                <w:szCs w:val="20"/>
              </w:rPr>
              <w:t xml:space="preserve"> </w:t>
            </w:r>
            <w:r w:rsidRPr="00C34C37">
              <w:rPr>
                <w:rFonts w:ascii="Arial" w:eastAsia="Arial" w:hAnsi="Arial" w:cs="Arial"/>
                <w:color w:val="000000"/>
                <w:sz w:val="20"/>
                <w:szCs w:val="20"/>
              </w:rPr>
              <w:t>(2018). Twórca programów szkoleniowych i instruktor z zakresu</w:t>
            </w:r>
            <w:r>
              <w:rPr>
                <w:rFonts w:ascii="Arial" w:eastAsia="Arial" w:hAnsi="Arial" w:cs="Arial"/>
                <w:color w:val="000000"/>
                <w:sz w:val="20"/>
                <w:szCs w:val="20"/>
              </w:rPr>
              <w:t xml:space="preserve"> </w:t>
            </w:r>
            <w:r w:rsidRPr="00C34C37">
              <w:rPr>
                <w:rFonts w:ascii="Arial" w:eastAsia="Arial" w:hAnsi="Arial" w:cs="Arial"/>
                <w:color w:val="000000"/>
                <w:sz w:val="20"/>
                <w:szCs w:val="20"/>
              </w:rPr>
              <w:t>wywiadu jawnoźródłowego w Internecie, cyberbezpieczeństwa oraz surviwalu miejskiego.</w:t>
            </w:r>
            <w:r>
              <w:rPr>
                <w:rFonts w:ascii="Arial" w:eastAsia="Arial" w:hAnsi="Arial" w:cs="Arial"/>
                <w:color w:val="000000"/>
                <w:sz w:val="20"/>
                <w:szCs w:val="20"/>
              </w:rPr>
              <w:t xml:space="preserve"> </w:t>
            </w:r>
            <w:r w:rsidRPr="00C34C37">
              <w:rPr>
                <w:rFonts w:ascii="Arial" w:eastAsia="Arial" w:hAnsi="Arial" w:cs="Arial"/>
                <w:color w:val="000000"/>
                <w:sz w:val="20"/>
                <w:szCs w:val="20"/>
              </w:rPr>
              <w:t>Autor narzędzia służącego do automatyzacji czynności OSINT w Internecie Cyberuniverse</w:t>
            </w:r>
            <w:r>
              <w:rPr>
                <w:rFonts w:ascii="Arial" w:eastAsia="Arial" w:hAnsi="Arial" w:cs="Arial"/>
                <w:color w:val="000000"/>
                <w:sz w:val="20"/>
                <w:szCs w:val="20"/>
              </w:rPr>
              <w:t xml:space="preserve"> </w:t>
            </w:r>
            <w:r w:rsidRPr="00C34C37">
              <w:rPr>
                <w:rFonts w:ascii="Arial" w:eastAsia="Arial" w:hAnsi="Arial" w:cs="Arial"/>
                <w:color w:val="000000"/>
                <w:sz w:val="20"/>
                <w:szCs w:val="20"/>
              </w:rPr>
              <w:t>Analysis Tool. Autor licznych publikacji z zakresu socjologii Internetu, socjologii przemocy,metodologii badań, cyberbezpieczeństwa, kryminologii oraz partycypacji politycznej.</w:t>
            </w:r>
            <w:r>
              <w:rPr>
                <w:rFonts w:ascii="Arial" w:eastAsia="Arial" w:hAnsi="Arial" w:cs="Arial"/>
                <w:color w:val="000000"/>
                <w:sz w:val="20"/>
                <w:szCs w:val="20"/>
              </w:rPr>
              <w:t xml:space="preserve"> </w:t>
            </w:r>
            <w:r w:rsidRPr="00C34C37">
              <w:rPr>
                <w:rFonts w:ascii="Arial" w:eastAsia="Arial" w:hAnsi="Arial" w:cs="Arial"/>
                <w:color w:val="000000"/>
                <w:sz w:val="20"/>
                <w:szCs w:val="20"/>
              </w:rPr>
              <w:t>Analityk biegle posługujący się metodami ilościowymi i jakościowymi obróbki informacji.</w:t>
            </w:r>
            <w:r>
              <w:rPr>
                <w:rFonts w:ascii="Arial" w:eastAsia="Arial" w:hAnsi="Arial" w:cs="Arial"/>
                <w:color w:val="000000"/>
                <w:sz w:val="20"/>
                <w:szCs w:val="20"/>
              </w:rPr>
              <w:t xml:space="preserve"> </w:t>
            </w:r>
            <w:r w:rsidRPr="00C34C37">
              <w:rPr>
                <w:rFonts w:ascii="Arial" w:eastAsia="Arial" w:hAnsi="Arial" w:cs="Arial"/>
                <w:color w:val="000000"/>
                <w:sz w:val="20"/>
                <w:szCs w:val="20"/>
              </w:rPr>
              <w:t>Egzaminator Europejskiego Certyfikatu Umiejętności Komputerowych, certyfikowany</w:t>
            </w:r>
            <w:r>
              <w:rPr>
                <w:rFonts w:ascii="Arial" w:eastAsia="Arial" w:hAnsi="Arial" w:cs="Arial"/>
                <w:color w:val="000000"/>
                <w:sz w:val="20"/>
                <w:szCs w:val="20"/>
              </w:rPr>
              <w:t xml:space="preserve"> </w:t>
            </w:r>
            <w:r w:rsidRPr="00C34C37">
              <w:rPr>
                <w:rFonts w:ascii="Arial" w:eastAsia="Arial" w:hAnsi="Arial" w:cs="Arial"/>
                <w:color w:val="000000"/>
                <w:sz w:val="20"/>
                <w:szCs w:val="20"/>
              </w:rPr>
              <w:t>informatyk śledczy. Członek Polskiego Towarzystwa Informatycznego i Polskiego</w:t>
            </w:r>
            <w:r>
              <w:rPr>
                <w:rFonts w:ascii="Arial" w:eastAsia="Arial" w:hAnsi="Arial" w:cs="Arial"/>
                <w:color w:val="000000"/>
                <w:sz w:val="20"/>
                <w:szCs w:val="20"/>
              </w:rPr>
              <w:t xml:space="preserve"> </w:t>
            </w:r>
            <w:r w:rsidRPr="00C34C37">
              <w:rPr>
                <w:rFonts w:ascii="Arial" w:eastAsia="Arial" w:hAnsi="Arial" w:cs="Arial"/>
                <w:color w:val="000000"/>
                <w:sz w:val="20"/>
                <w:szCs w:val="20"/>
              </w:rPr>
              <w:t>Towarzystwa Socjologicznego.</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Pr="00C34C37" w:rsidRDefault="00846CB7" w:rsidP="00762B46">
            <w:pPr>
              <w:tabs>
                <w:tab w:val="left" w:pos="1134"/>
              </w:tabs>
              <w:spacing w:before="120"/>
              <w:ind w:right="503"/>
              <w:jc w:val="both"/>
              <w:rPr>
                <w:rFonts w:ascii="Arial" w:eastAsia="Arial" w:hAnsi="Arial" w:cs="Arial"/>
                <w:bCs/>
                <w:color w:val="000000"/>
                <w:sz w:val="20"/>
                <w:szCs w:val="20"/>
              </w:rPr>
            </w:pPr>
            <w:r w:rsidRPr="00C34C37">
              <w:rPr>
                <w:rFonts w:ascii="Arial" w:eastAsia="Arial" w:hAnsi="Arial" w:cs="Arial"/>
                <w:bCs/>
                <w:color w:val="000000"/>
                <w:sz w:val="20"/>
                <w:szCs w:val="20"/>
              </w:rPr>
              <w:t>Socjologia konfliktu i przemocy, analiza danych ilościowych i jakościowych, metodologia badań politologicznych, infobrokering polityczny, wywiad jawnoźródłowy, informatyka społeczna, cyberbezpieczeństwo, terroryzm, cyberterroryzm, technologie wspierające prywatność.</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Ostatnie publikacje:</w:t>
            </w:r>
          </w:p>
          <w:p w:rsidR="00846CB7" w:rsidRPr="00846CB7" w:rsidRDefault="00846CB7" w:rsidP="00762B46">
            <w:pPr>
              <w:pStyle w:val="Akapitzlist"/>
              <w:numPr>
                <w:ilvl w:val="0"/>
                <w:numId w:val="88"/>
              </w:numPr>
              <w:tabs>
                <w:tab w:val="left" w:pos="1134"/>
              </w:tabs>
              <w:spacing w:before="120"/>
              <w:ind w:right="503"/>
              <w:jc w:val="both"/>
              <w:rPr>
                <w:rFonts w:ascii="Arial" w:eastAsia="Arial" w:hAnsi="Arial" w:cs="Arial"/>
                <w:bCs/>
                <w:color w:val="000000"/>
                <w:sz w:val="20"/>
                <w:szCs w:val="20"/>
                <w:lang w:val="en-US"/>
              </w:rPr>
            </w:pPr>
            <w:r w:rsidRPr="00846CB7">
              <w:rPr>
                <w:rFonts w:ascii="Arial" w:eastAsia="Arial" w:hAnsi="Arial" w:cs="Arial"/>
                <w:bCs/>
                <w:color w:val="000000"/>
                <w:sz w:val="20"/>
                <w:szCs w:val="20"/>
                <w:lang w:val="en-US"/>
              </w:rPr>
              <w:t>D. Mider, J. Garlicki, W. Mincewicz, The Internet Data Collection with the Google Hacking Tool–White, Grey or Black Open-Source Intelligence?, “Internal Security Review 20/19”, nr 20 (11) 2019, s. 280-300.</w:t>
            </w:r>
          </w:p>
          <w:p w:rsidR="00846CB7" w:rsidRPr="00C34C37" w:rsidRDefault="00846CB7" w:rsidP="00762B46">
            <w:pPr>
              <w:pStyle w:val="Akapitzlist"/>
              <w:numPr>
                <w:ilvl w:val="0"/>
                <w:numId w:val="88"/>
              </w:numPr>
              <w:tabs>
                <w:tab w:val="left" w:pos="1134"/>
              </w:tabs>
              <w:spacing w:before="120"/>
              <w:ind w:right="503"/>
              <w:jc w:val="both"/>
              <w:rPr>
                <w:rFonts w:ascii="Arial" w:eastAsia="Arial" w:hAnsi="Arial" w:cs="Arial"/>
                <w:bCs/>
                <w:color w:val="000000"/>
                <w:sz w:val="20"/>
                <w:szCs w:val="20"/>
              </w:rPr>
            </w:pPr>
            <w:r w:rsidRPr="00C34C37">
              <w:rPr>
                <w:rFonts w:ascii="Arial" w:eastAsia="Arial" w:hAnsi="Arial" w:cs="Arial"/>
                <w:bCs/>
                <w:color w:val="000000"/>
                <w:sz w:val="20"/>
                <w:szCs w:val="20"/>
              </w:rPr>
              <w:t>D. Mider, Polacy wobec przemocy politycznej: studium typów postaw i ocen moralnych, Warszawa, 2017.</w:t>
            </w:r>
          </w:p>
          <w:p w:rsidR="00846CB7" w:rsidRPr="00C34C37" w:rsidRDefault="00846CB7" w:rsidP="00762B46">
            <w:pPr>
              <w:pStyle w:val="Akapitzlist"/>
              <w:numPr>
                <w:ilvl w:val="0"/>
                <w:numId w:val="88"/>
              </w:numPr>
              <w:tabs>
                <w:tab w:val="left" w:pos="1134"/>
              </w:tabs>
              <w:spacing w:before="120"/>
              <w:ind w:right="503"/>
              <w:jc w:val="both"/>
              <w:rPr>
                <w:rFonts w:ascii="Arial" w:eastAsia="Arial" w:hAnsi="Arial" w:cs="Arial"/>
                <w:b/>
                <w:color w:val="000000"/>
                <w:sz w:val="20"/>
                <w:szCs w:val="20"/>
              </w:rPr>
            </w:pPr>
            <w:r w:rsidRPr="00C34C37">
              <w:rPr>
                <w:rFonts w:ascii="Arial" w:eastAsia="Arial" w:hAnsi="Arial" w:cs="Arial"/>
                <w:bCs/>
                <w:color w:val="000000"/>
                <w:sz w:val="20"/>
                <w:szCs w:val="20"/>
              </w:rPr>
              <w:t>D. Mider, Potencjał delegitymizacji systemu politycznego w społeczeństwie polskim, “Historia i Polityka”, 2016 nr 15, s. 21-53.</w:t>
            </w: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Layout w:type="fixed"/>
        <w:tblLook w:val="0400" w:firstRow="0" w:lastRow="0" w:firstColumn="0" w:lastColumn="0" w:noHBand="0" w:noVBand="1"/>
      </w:tblPr>
      <w:tblGrid>
        <w:gridCol w:w="9167"/>
      </w:tblGrid>
      <w:tr w:rsidR="00846CB7" w:rsidRPr="001E5E45" w:rsidTr="00762B46">
        <w:tc>
          <w:tcPr>
            <w:tcW w:w="9167" w:type="dxa"/>
            <w:tcBorders>
              <w:top w:val="single" w:sz="4" w:space="0" w:color="000000"/>
              <w:left w:val="single" w:sz="4" w:space="0" w:color="000000"/>
              <w:bottom w:val="single" w:sz="4" w:space="0" w:color="000000"/>
              <w:right w:val="single" w:sz="4" w:space="0" w:color="000000"/>
            </w:tcBorders>
            <w:shd w:val="clear" w:color="auto" w:fill="BFBFBF"/>
          </w:tcPr>
          <w:p w:rsidR="00846CB7" w:rsidRPr="001E5E45" w:rsidRDefault="00846CB7" w:rsidP="00762B46">
            <w:pPr>
              <w:widowControl w:val="0"/>
              <w:tabs>
                <w:tab w:val="left" w:pos="1134"/>
              </w:tabs>
              <w:suppressAutoHyphens/>
              <w:spacing w:before="120"/>
              <w:ind w:right="503"/>
              <w:jc w:val="both"/>
              <w:rPr>
                <w:rFonts w:ascii="Arial" w:eastAsia="Arial" w:hAnsi="Arial" w:cs="Arial"/>
                <w:b/>
                <w:color w:val="000000"/>
                <w:sz w:val="20"/>
                <w:szCs w:val="20"/>
              </w:rPr>
            </w:pPr>
            <w:r w:rsidRPr="001E5E45">
              <w:rPr>
                <w:rFonts w:ascii="Arial" w:eastAsia="Arial" w:hAnsi="Arial" w:cs="Arial"/>
                <w:b/>
                <w:color w:val="000000"/>
                <w:sz w:val="20"/>
                <w:szCs w:val="20"/>
              </w:rPr>
              <w:t>dr hab. Bartosz Pieliński</w:t>
            </w:r>
          </w:p>
        </w:tc>
      </w:tr>
      <w:tr w:rsidR="00846CB7" w:rsidRPr="001E5E45" w:rsidTr="00762B46">
        <w:tc>
          <w:tcPr>
            <w:tcW w:w="9167" w:type="dxa"/>
            <w:tcBorders>
              <w:top w:val="single" w:sz="4" w:space="0" w:color="000000"/>
              <w:left w:val="single" w:sz="4" w:space="0" w:color="000000"/>
              <w:bottom w:val="single" w:sz="4" w:space="0" w:color="000000"/>
              <w:right w:val="single" w:sz="4" w:space="0" w:color="000000"/>
            </w:tcBorders>
          </w:tcPr>
          <w:p w:rsidR="00846CB7" w:rsidRPr="001E5E45" w:rsidRDefault="00846CB7" w:rsidP="00762B46">
            <w:pPr>
              <w:widowControl w:val="0"/>
              <w:tabs>
                <w:tab w:val="left" w:pos="1134"/>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Stopnie i tytuły naukowe:</w:t>
            </w:r>
          </w:p>
          <w:p w:rsidR="00846CB7" w:rsidRPr="001E5E45" w:rsidRDefault="00846CB7" w:rsidP="00762B46">
            <w:pPr>
              <w:widowControl w:val="0"/>
              <w:tabs>
                <w:tab w:val="left" w:pos="1134"/>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- 2020, habilitacja, nauki o polityce i administracji, Uniwersytet Warszawski;</w:t>
            </w:r>
          </w:p>
          <w:p w:rsidR="00846CB7" w:rsidRPr="001E5E45" w:rsidRDefault="00846CB7" w:rsidP="00762B46">
            <w:pPr>
              <w:widowControl w:val="0"/>
              <w:tabs>
                <w:tab w:val="left" w:pos="1134"/>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 xml:space="preserve">- 2008, doktorat, politologia, Wydział Dziennikarstwa i Nauk Politycznych, Uniwersytet Warszawski; </w:t>
            </w:r>
          </w:p>
          <w:p w:rsidR="00846CB7" w:rsidRPr="001E5E45" w:rsidRDefault="00846CB7" w:rsidP="00762B46">
            <w:pPr>
              <w:widowControl w:val="0"/>
              <w:tabs>
                <w:tab w:val="left" w:pos="1134"/>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 xml:space="preserve">W latach 2016-2019 zastępca dyrektora Instytutu Polityki Społecznej WNPiSM UW. </w:t>
            </w:r>
          </w:p>
        </w:tc>
      </w:tr>
      <w:tr w:rsidR="00846CB7" w:rsidRPr="001E5E45" w:rsidTr="00762B46">
        <w:tc>
          <w:tcPr>
            <w:tcW w:w="9167" w:type="dxa"/>
            <w:tcBorders>
              <w:top w:val="single" w:sz="4" w:space="0" w:color="000000"/>
              <w:left w:val="single" w:sz="4" w:space="0" w:color="000000"/>
              <w:bottom w:val="single" w:sz="4" w:space="0" w:color="000000"/>
              <w:right w:val="single" w:sz="4" w:space="0" w:color="000000"/>
            </w:tcBorders>
          </w:tcPr>
          <w:p w:rsidR="00846CB7" w:rsidRPr="001E5E45" w:rsidRDefault="00846CB7" w:rsidP="00762B46">
            <w:pPr>
              <w:widowControl w:val="0"/>
              <w:tabs>
                <w:tab w:val="left" w:pos="1134"/>
              </w:tabs>
              <w:suppressAutoHyphens/>
              <w:spacing w:before="120"/>
              <w:ind w:right="503"/>
              <w:jc w:val="both"/>
              <w:rPr>
                <w:rFonts w:ascii="Arial" w:eastAsia="Arial" w:hAnsi="Arial" w:cs="Arial"/>
                <w:b/>
                <w:color w:val="000000"/>
                <w:sz w:val="20"/>
                <w:szCs w:val="20"/>
              </w:rPr>
            </w:pPr>
            <w:r w:rsidRPr="001E5E45">
              <w:rPr>
                <w:rFonts w:ascii="Arial" w:eastAsia="Arial" w:hAnsi="Arial" w:cs="Arial"/>
                <w:b/>
                <w:color w:val="000000"/>
                <w:sz w:val="20"/>
                <w:szCs w:val="20"/>
              </w:rPr>
              <w:t>Zainteresowania badawcze</w:t>
            </w:r>
          </w:p>
        </w:tc>
      </w:tr>
      <w:tr w:rsidR="00846CB7" w:rsidRPr="001E5E45" w:rsidTr="00762B46">
        <w:tc>
          <w:tcPr>
            <w:tcW w:w="9167" w:type="dxa"/>
            <w:tcBorders>
              <w:top w:val="single" w:sz="4" w:space="0" w:color="000000"/>
              <w:left w:val="single" w:sz="4" w:space="0" w:color="000000"/>
              <w:bottom w:val="single" w:sz="4" w:space="0" w:color="000000"/>
              <w:right w:val="single" w:sz="4" w:space="0" w:color="000000"/>
            </w:tcBorders>
          </w:tcPr>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zastosowanie technik przetważania języka naturalnego (</w:t>
            </w:r>
            <w:r w:rsidRPr="001E5E45">
              <w:rPr>
                <w:rFonts w:ascii="Arial" w:eastAsia="Arial" w:hAnsi="Arial" w:cs="Arial"/>
                <w:i/>
                <w:iCs/>
                <w:color w:val="000000"/>
                <w:sz w:val="20"/>
                <w:szCs w:val="20"/>
              </w:rPr>
              <w:t>natural language processing</w:t>
            </w:r>
            <w:r w:rsidRPr="001E5E45">
              <w:rPr>
                <w:rFonts w:ascii="Arial" w:eastAsia="Arial" w:hAnsi="Arial" w:cs="Arial"/>
                <w:color w:val="000000"/>
                <w:sz w:val="20"/>
                <w:szCs w:val="20"/>
              </w:rPr>
              <w:t>) do badań regulacji prawnych oraz dokumentów wyznaczających kierunki rozwoju polityk publicznych (</w:t>
            </w:r>
            <w:r w:rsidRPr="001E5E45">
              <w:rPr>
                <w:rFonts w:ascii="Arial" w:eastAsia="Arial" w:hAnsi="Arial" w:cs="Arial"/>
                <w:i/>
                <w:iCs/>
                <w:color w:val="000000"/>
                <w:sz w:val="20"/>
                <w:szCs w:val="20"/>
              </w:rPr>
              <w:t>policy documents</w:t>
            </w:r>
            <w:r w:rsidRPr="001E5E45">
              <w:rPr>
                <w:rFonts w:ascii="Arial" w:eastAsia="Arial" w:hAnsi="Arial" w:cs="Arial"/>
                <w:color w:val="000000"/>
                <w:sz w:val="20"/>
                <w:szCs w:val="20"/>
              </w:rPr>
              <w:t>);</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lastRenderedPageBreak/>
              <w:t>- rozwój gramatyki instytucjonalnej (Institutional Grammar) – narzędzia analitycznego stosowanego do badań reguł życia społecznej;</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rozwój polityk publicznych związanych z rozwojem sztucznej inteligencji;</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ilościowa analiza instytucjonalna różnych systemów polityk publicznych od polityki społecznej po systemy ochrony zabytków.</w:t>
            </w:r>
          </w:p>
        </w:tc>
      </w:tr>
      <w:tr w:rsidR="00846CB7" w:rsidRPr="001E5E45" w:rsidTr="00762B46">
        <w:tc>
          <w:tcPr>
            <w:tcW w:w="9167" w:type="dxa"/>
            <w:tcBorders>
              <w:top w:val="single" w:sz="4" w:space="0" w:color="000000"/>
              <w:left w:val="single" w:sz="4" w:space="0" w:color="000000"/>
              <w:bottom w:val="single" w:sz="4" w:space="0" w:color="000000"/>
              <w:right w:val="single" w:sz="4" w:space="0" w:color="000000"/>
            </w:tcBorders>
          </w:tcPr>
          <w:p w:rsidR="00846CB7" w:rsidRPr="001E5E45" w:rsidRDefault="00846CB7" w:rsidP="00762B46">
            <w:pPr>
              <w:widowControl w:val="0"/>
              <w:tabs>
                <w:tab w:val="left" w:pos="1134"/>
              </w:tabs>
              <w:suppressAutoHyphens/>
              <w:spacing w:before="120"/>
              <w:ind w:right="503"/>
              <w:jc w:val="both"/>
              <w:rPr>
                <w:rFonts w:ascii="Arial" w:eastAsia="Arial" w:hAnsi="Arial" w:cs="Arial"/>
                <w:b/>
                <w:color w:val="000000"/>
                <w:sz w:val="20"/>
                <w:szCs w:val="20"/>
              </w:rPr>
            </w:pPr>
            <w:r w:rsidRPr="001E5E45">
              <w:rPr>
                <w:rFonts w:ascii="Arial" w:eastAsia="Arial" w:hAnsi="Arial" w:cs="Arial"/>
                <w:b/>
                <w:color w:val="000000"/>
                <w:sz w:val="20"/>
                <w:szCs w:val="20"/>
              </w:rPr>
              <w:lastRenderedPageBreak/>
              <w:t>Osiągnięcia naukowe i doświadczenie dydaktyczne</w:t>
            </w:r>
          </w:p>
        </w:tc>
      </w:tr>
      <w:tr w:rsidR="00846CB7" w:rsidRPr="001E5E45" w:rsidTr="00762B46">
        <w:trPr>
          <w:trHeight w:val="1637"/>
        </w:trPr>
        <w:tc>
          <w:tcPr>
            <w:tcW w:w="9167" w:type="dxa"/>
            <w:tcBorders>
              <w:top w:val="single" w:sz="4" w:space="0" w:color="000000"/>
              <w:left w:val="single" w:sz="4" w:space="0" w:color="000000"/>
              <w:bottom w:val="single" w:sz="4" w:space="0" w:color="000000"/>
              <w:right w:val="single" w:sz="4" w:space="0" w:color="000000"/>
            </w:tcBorders>
          </w:tcPr>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Osiągnięcia naukowe:</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habilitacja, 2020;</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współuczestniczenie w powstaniu Institutional Grammar Research Initiative, 2020;</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rozpoczęcie współpracy z MI²DataLab, 2021.</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Doświadczenie dydaktyczne:</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prowadzenie kursów z metodologii nauk społecznych (wykłady/ćwiczenia/warsztaty);</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prowadzenie kursów z podstaw socjologii;</w:t>
            </w:r>
          </w:p>
          <w:p w:rsidR="00846CB7" w:rsidRPr="001E5E45" w:rsidRDefault="00846CB7" w:rsidP="00762B46">
            <w:pPr>
              <w:widowControl w:val="0"/>
              <w:tabs>
                <w:tab w:val="left" w:pos="1134"/>
              </w:tabs>
              <w:suppressAutoHyphens/>
              <w:spacing w:before="120"/>
              <w:ind w:right="503"/>
              <w:jc w:val="both"/>
              <w:rPr>
                <w:rFonts w:ascii="Arial" w:eastAsia="Arial" w:hAnsi="Arial" w:cs="Arial"/>
                <w:color w:val="000000"/>
                <w:sz w:val="20"/>
                <w:szCs w:val="20"/>
              </w:rPr>
            </w:pPr>
            <w:r w:rsidRPr="001E5E45">
              <w:rPr>
                <w:rFonts w:ascii="Arial" w:eastAsia="Arial" w:hAnsi="Arial" w:cs="Arial"/>
                <w:color w:val="000000"/>
                <w:sz w:val="20"/>
                <w:szCs w:val="20"/>
              </w:rPr>
              <w:t>- współprowadzenie warsztatów badawczych/seminariów dyplomowych związanych z MI²DataLab (studneci MIM UW, MiNI PW).</w:t>
            </w:r>
          </w:p>
        </w:tc>
      </w:tr>
      <w:tr w:rsidR="00846CB7" w:rsidRPr="001E5E45" w:rsidTr="00762B46">
        <w:tc>
          <w:tcPr>
            <w:tcW w:w="9167" w:type="dxa"/>
            <w:tcBorders>
              <w:top w:val="single" w:sz="4" w:space="0" w:color="000000"/>
              <w:left w:val="single" w:sz="4" w:space="0" w:color="000000"/>
              <w:bottom w:val="single" w:sz="4" w:space="0" w:color="000000"/>
              <w:right w:val="single" w:sz="4" w:space="0" w:color="000000"/>
            </w:tcBorders>
          </w:tcPr>
          <w:p w:rsidR="00846CB7" w:rsidRPr="001E5E45" w:rsidRDefault="00846CB7" w:rsidP="00762B46">
            <w:pPr>
              <w:widowControl w:val="0"/>
              <w:tabs>
                <w:tab w:val="left" w:pos="720"/>
              </w:tabs>
              <w:suppressAutoHyphens/>
              <w:ind w:right="503"/>
              <w:jc w:val="both"/>
              <w:rPr>
                <w:rFonts w:ascii="Arial" w:eastAsia="Arial" w:hAnsi="Arial" w:cs="Arial"/>
                <w:b/>
                <w:bCs/>
                <w:color w:val="000000"/>
                <w:sz w:val="20"/>
                <w:szCs w:val="20"/>
              </w:rPr>
            </w:pPr>
            <w:r w:rsidRPr="001E5E45">
              <w:rPr>
                <w:rFonts w:ascii="Arial" w:eastAsia="Arial" w:hAnsi="Arial" w:cs="Arial"/>
                <w:b/>
                <w:bCs/>
                <w:color w:val="000000"/>
                <w:sz w:val="20"/>
                <w:szCs w:val="20"/>
              </w:rPr>
              <w:t>Ostatnie publikacje:</w:t>
            </w:r>
          </w:p>
          <w:p w:rsidR="00846CB7" w:rsidRPr="00846CB7" w:rsidRDefault="00846CB7" w:rsidP="00762B46">
            <w:pPr>
              <w:widowControl w:val="0"/>
              <w:tabs>
                <w:tab w:val="left" w:pos="720"/>
              </w:tabs>
              <w:suppressAutoHyphens/>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 Pieliński, B., Mering, T., &amp; Szarfenberg, R. (2021). </w:t>
            </w:r>
            <w:r w:rsidRPr="00846CB7">
              <w:rPr>
                <w:rFonts w:ascii="Arial" w:eastAsia="Arial" w:hAnsi="Arial" w:cs="Arial"/>
                <w:color w:val="000000"/>
                <w:sz w:val="20"/>
                <w:szCs w:val="20"/>
                <w:lang w:val="en-US"/>
              </w:rPr>
              <w:t>Keeping a distance but heading in the same direction: formal rules on unemployment benefit sanctions and social assistance benefit sanctions in Poland, 1989–2014. International Journal of Sociology and Social Policy. doi.org/10.1108/IJSSP-09-2021-0227</w:t>
            </w:r>
          </w:p>
          <w:p w:rsidR="00846CB7" w:rsidRPr="00846CB7" w:rsidRDefault="00846CB7" w:rsidP="00762B46">
            <w:pPr>
              <w:widowControl w:val="0"/>
              <w:tabs>
                <w:tab w:val="left" w:pos="720"/>
              </w:tabs>
              <w:suppressAutoHyphens/>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Pape, U., Brandsen, T., Pahl, J. B., Pieliński, B., Baturina, D., Brookes, N., … Others. (2020). Changing policy environments in Europe and the resilience of the third sector. VOLUNTAS: International Journal of Voluntary and Nonprofit Organizations, 31(1), 238–249. doi.org/10.1007/s11266-018-00087-z</w:t>
            </w:r>
          </w:p>
          <w:p w:rsidR="00846CB7" w:rsidRPr="001E5E45" w:rsidRDefault="00846CB7" w:rsidP="00762B46">
            <w:pPr>
              <w:widowControl w:val="0"/>
              <w:tabs>
                <w:tab w:val="left" w:pos="720"/>
              </w:tabs>
              <w:suppressAutoHyphens/>
              <w:ind w:right="503"/>
              <w:jc w:val="both"/>
              <w:rPr>
                <w:rFonts w:ascii="Arial" w:eastAsia="Arial" w:hAnsi="Arial" w:cs="Arial"/>
                <w:color w:val="000000"/>
                <w:sz w:val="20"/>
                <w:szCs w:val="20"/>
              </w:rPr>
            </w:pPr>
            <w:r w:rsidRPr="001E5E45">
              <w:rPr>
                <w:rFonts w:ascii="Arial" w:eastAsia="Arial" w:hAnsi="Arial" w:cs="Arial"/>
                <w:color w:val="000000"/>
                <w:sz w:val="20"/>
                <w:szCs w:val="20"/>
              </w:rPr>
              <w:t>- Pieliński, B., &amp; Szarfenberg, R. (2017). Sankcje socjalne w świetle gramatyki instytucjonalnej - nowe spojrzenie na aktywną politykę społeczną. Polityka Społeczna, 519(5–6), 9–14.</w:t>
            </w:r>
          </w:p>
          <w:p w:rsidR="00846CB7" w:rsidRPr="00846CB7" w:rsidRDefault="00846CB7" w:rsidP="00762B46">
            <w:pPr>
              <w:widowControl w:val="0"/>
              <w:tabs>
                <w:tab w:val="left" w:pos="720"/>
              </w:tabs>
              <w:suppressAutoHyphens/>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 Pape, U., Chaves-Ávila, R., Benedikt Pahl, J., Petrella, F., Pieliński, B., &amp; Savall-Morera, T. (2016). </w:t>
            </w:r>
            <w:r w:rsidRPr="00846CB7">
              <w:rPr>
                <w:rFonts w:ascii="Arial" w:eastAsia="Arial" w:hAnsi="Arial" w:cs="Arial"/>
                <w:color w:val="000000"/>
                <w:sz w:val="20"/>
                <w:szCs w:val="20"/>
                <w:lang w:val="en-US"/>
              </w:rPr>
              <w:t>Working under pressure: economic recession and third sector development in Europe. International Journal of Sociology and Social Policy, 36(7/8), 547–566. doi.org/10.1108/IJSSP-01-2016-0010</w:t>
            </w:r>
          </w:p>
          <w:p w:rsidR="00846CB7" w:rsidRPr="00846CB7" w:rsidRDefault="00846CB7" w:rsidP="00762B46">
            <w:pPr>
              <w:widowControl w:val="0"/>
              <w:tabs>
                <w:tab w:val="left" w:pos="720"/>
              </w:tabs>
              <w:suppressAutoHyphens/>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Pre-printy:</w:t>
            </w:r>
            <w:r w:rsidRPr="001E5E45">
              <w:rPr>
                <w:rFonts w:ascii="Arial" w:eastAsia="Arial" w:hAnsi="Arial" w:cs="Arial"/>
                <w:color w:val="000000"/>
                <w:sz w:val="20"/>
                <w:szCs w:val="20"/>
              </w:rPr>
              <w:br/>
              <w:t xml:space="preserve">- Wróblewska, A., Pieliński, B., Seweryn, K., Saputa, K., Wichrowska, A., Sysko-Romańczuk, S., &amp; Schreiber, H.. </w:t>
            </w:r>
            <w:r w:rsidRPr="00846CB7">
              <w:rPr>
                <w:rFonts w:ascii="Arial" w:eastAsia="Arial" w:hAnsi="Arial" w:cs="Arial"/>
                <w:color w:val="000000"/>
                <w:sz w:val="20"/>
                <w:szCs w:val="20"/>
                <w:lang w:val="en-US"/>
              </w:rPr>
              <w:t>(2022). Entity Graph Extraction from Legal Acts – a Prototype for a Use Case in Policy Design Analysis. arXiv:2209.00944</w:t>
            </w:r>
          </w:p>
          <w:p w:rsidR="00846CB7" w:rsidRPr="00846CB7" w:rsidRDefault="00846CB7" w:rsidP="00762B46">
            <w:pPr>
              <w:widowControl w:val="0"/>
              <w:tabs>
                <w:tab w:val="left" w:pos="720"/>
              </w:tabs>
              <w:suppressAutoHyphens/>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 Gizinski, S., Kuzba, M., Pielinski, B., Sienkiewicz, J., Łaniewski, S., &amp; Biecek, P. (2021). </w:t>
            </w:r>
            <w:r w:rsidRPr="00846CB7">
              <w:rPr>
                <w:rFonts w:ascii="Arial" w:eastAsia="Arial" w:hAnsi="Arial" w:cs="Arial"/>
                <w:color w:val="000000"/>
                <w:sz w:val="20"/>
                <w:szCs w:val="20"/>
                <w:lang w:val="en-US"/>
              </w:rPr>
              <w:t>MAIR: Framework for mining relationships between research articles, strategies, and regulations in the field of explainable artificial intelligence. arXiv:2108.06216</w:t>
            </w:r>
          </w:p>
          <w:p w:rsidR="00846CB7" w:rsidRPr="001E5E45" w:rsidRDefault="00846CB7" w:rsidP="00762B46">
            <w:pPr>
              <w:widowControl w:val="0"/>
              <w:tabs>
                <w:tab w:val="left" w:pos="720"/>
              </w:tabs>
              <w:suppressAutoHyphens/>
              <w:ind w:right="503"/>
              <w:jc w:val="both"/>
              <w:rPr>
                <w:rFonts w:ascii="Arial" w:eastAsia="Arial" w:hAnsi="Arial" w:cs="Arial"/>
                <w:b/>
                <w:bCs/>
                <w:color w:val="000000"/>
                <w:sz w:val="20"/>
                <w:szCs w:val="20"/>
              </w:rPr>
            </w:pPr>
            <w:r w:rsidRPr="001E5E45">
              <w:rPr>
                <w:rFonts w:ascii="Arial" w:eastAsia="Arial" w:hAnsi="Arial" w:cs="Arial"/>
                <w:b/>
                <w:bCs/>
                <w:color w:val="000000"/>
                <w:sz w:val="20"/>
                <w:szCs w:val="20"/>
              </w:rPr>
              <w:t>Udział w projektach badawczych:</w:t>
            </w: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Narodowe Centrum Nauki (2019-)</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i/>
                <w:iCs/>
                <w:color w:val="000000"/>
                <w:sz w:val="20"/>
                <w:szCs w:val="20"/>
                <w:lang w:val="en-US"/>
              </w:rPr>
              <w:t>Between the heritage of the world and the heritage of humanity: researching international heritage regimes through the prism of Elinor Ostrom’s IAD framework</w:t>
            </w: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 xml:space="preserve">Grant nr: 2019/35/D/HS5/04247 </w:t>
            </w: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lastRenderedPageBreak/>
              <w:t>Kierownik: dr hab. Hanna Schrieber</w:t>
            </w: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Narodowe Centrum Nauki (2019-)</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i/>
                <w:iCs/>
                <w:color w:val="000000"/>
                <w:sz w:val="20"/>
                <w:szCs w:val="20"/>
                <w:lang w:val="en-US"/>
              </w:rPr>
            </w:pPr>
            <w:r w:rsidRPr="00846CB7">
              <w:rPr>
                <w:rFonts w:ascii="Arial" w:eastAsia="Arial" w:hAnsi="Arial" w:cs="Arial"/>
                <w:i/>
                <w:iCs/>
                <w:color w:val="000000"/>
                <w:sz w:val="20"/>
                <w:szCs w:val="20"/>
                <w:lang w:val="en-US"/>
              </w:rPr>
              <w:t xml:space="preserve">Fathers' freedom of choice (not) to use parental leave </w:t>
            </w: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Grant nr: 2019/35/B/HS5/02267\</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Kierownik: dr hab. </w:t>
            </w:r>
            <w:r w:rsidRPr="00846CB7">
              <w:rPr>
                <w:rFonts w:ascii="Arial" w:eastAsia="Arial" w:hAnsi="Arial" w:cs="Arial"/>
                <w:color w:val="000000"/>
                <w:sz w:val="20"/>
                <w:szCs w:val="20"/>
                <w:lang w:val="en-US"/>
              </w:rPr>
              <w:t>Anna Kurowska, prof. UW</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Centre for Priority Research Area Artificial Intelligence and Robotics of Warsaw University of Technology (2020-)</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i/>
                <w:iCs/>
                <w:color w:val="000000"/>
                <w:sz w:val="20"/>
                <w:szCs w:val="20"/>
                <w:lang w:val="en-US"/>
              </w:rPr>
              <w:t>Transfer Dataset: Efficacy of data abstraction and accuracy of data modelling</w:t>
            </w: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color w:val="000000"/>
                <w:sz w:val="20"/>
                <w:szCs w:val="20"/>
              </w:rPr>
              <w:t>Grant nr: 1820/27/Z01/POB2/2021\</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1E5E45">
              <w:rPr>
                <w:rFonts w:ascii="Arial" w:eastAsia="Arial" w:hAnsi="Arial" w:cs="Arial"/>
                <w:color w:val="000000"/>
                <w:sz w:val="20"/>
                <w:szCs w:val="20"/>
              </w:rPr>
              <w:t xml:space="preserve">PI: dr inż. </w:t>
            </w:r>
            <w:r w:rsidRPr="00846CB7">
              <w:rPr>
                <w:rFonts w:ascii="Arial" w:eastAsia="Arial" w:hAnsi="Arial" w:cs="Arial"/>
                <w:color w:val="000000"/>
                <w:sz w:val="20"/>
                <w:szCs w:val="20"/>
                <w:lang w:val="en-US"/>
              </w:rPr>
              <w:t>Anna Wróblewska</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Centre for Priority Research Area Artificial Intelligence and Robotics of Warsaw University of Technology (2021-)</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i/>
                <w:iCs/>
                <w:color w:val="000000"/>
                <w:sz w:val="20"/>
                <w:szCs w:val="20"/>
                <w:lang w:val="en-US"/>
              </w:rPr>
            </w:pPr>
            <w:r w:rsidRPr="00846CB7">
              <w:rPr>
                <w:rFonts w:ascii="Arial" w:eastAsia="Arial" w:hAnsi="Arial" w:cs="Arial"/>
                <w:i/>
                <w:iCs/>
                <w:color w:val="000000"/>
                <w:sz w:val="20"/>
                <w:szCs w:val="20"/>
                <w:lang w:val="en-US"/>
              </w:rPr>
              <w:t>DARLING -- In-depth analysis of AI regulations using language models, network analysis and Institutional Grammar</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Kierownik: dr inż. Julian Sienkiewicz</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COST European Cooperation in Science &amp; Technology (2017-2021)</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i/>
                <w:iCs/>
                <w:color w:val="000000"/>
                <w:sz w:val="20"/>
                <w:szCs w:val="20"/>
                <w:lang w:val="en-US"/>
              </w:rPr>
            </w:pPr>
            <w:r w:rsidRPr="00846CB7">
              <w:rPr>
                <w:rFonts w:ascii="Arial" w:eastAsia="Arial" w:hAnsi="Arial" w:cs="Arial"/>
                <w:i/>
                <w:iCs/>
                <w:color w:val="000000"/>
                <w:sz w:val="20"/>
                <w:szCs w:val="20"/>
                <w:lang w:val="en-US"/>
              </w:rPr>
              <w:t>Empowering the next generation of social enterprise scholars</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CA 16206 </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The 7th Framework Programme of the European Commission (2013-2017)</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i/>
                <w:iCs/>
                <w:color w:val="000000"/>
                <w:sz w:val="20"/>
                <w:szCs w:val="20"/>
                <w:lang w:val="en-US"/>
              </w:rPr>
              <w:t>Third Sector Impact. The Contribution of the Third Sector to Europe’s Socio-economic Development</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Grant nr: 613034 </w:t>
            </w: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p>
          <w:p w:rsidR="00846CB7" w:rsidRPr="00846CB7"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Johns Hopkins Center for Civil Society Studies, Johns Hopkins University (2010-2013)</w:t>
            </w:r>
          </w:p>
          <w:p w:rsidR="00846CB7" w:rsidRPr="001E5E45" w:rsidRDefault="00846CB7" w:rsidP="00762B46">
            <w:pPr>
              <w:widowControl w:val="0"/>
              <w:tabs>
                <w:tab w:val="left" w:pos="720"/>
              </w:tabs>
              <w:suppressAutoHyphens/>
              <w:spacing w:after="0" w:line="240" w:lineRule="auto"/>
              <w:ind w:right="503"/>
              <w:jc w:val="both"/>
              <w:rPr>
                <w:rFonts w:ascii="Arial" w:eastAsia="Arial" w:hAnsi="Arial" w:cs="Arial"/>
                <w:color w:val="000000"/>
                <w:sz w:val="20"/>
                <w:szCs w:val="20"/>
              </w:rPr>
            </w:pPr>
            <w:r w:rsidRPr="001E5E45">
              <w:rPr>
                <w:rFonts w:ascii="Arial" w:eastAsia="Arial" w:hAnsi="Arial" w:cs="Arial"/>
                <w:i/>
                <w:iCs/>
                <w:color w:val="000000"/>
                <w:sz w:val="20"/>
                <w:szCs w:val="20"/>
              </w:rPr>
              <w:t>Philanthropication thru Privatization</w:t>
            </w: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 xml:space="preserve">dr </w:t>
            </w:r>
            <w:r w:rsidRPr="00FB4F3D">
              <w:rPr>
                <w:rFonts w:ascii="Arial" w:eastAsia="Arial" w:hAnsi="Arial" w:cs="Arial"/>
                <w:b/>
                <w:color w:val="000000"/>
                <w:sz w:val="20"/>
                <w:szCs w:val="20"/>
              </w:rPr>
              <w:t>Janusz Jabłonowski</w:t>
            </w:r>
          </w:p>
        </w:tc>
      </w:tr>
      <w:tr w:rsidR="00846CB7" w:rsidTr="00762B46">
        <w:tc>
          <w:tcPr>
            <w:tcW w:w="9167" w:type="dxa"/>
          </w:tcPr>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 xml:space="preserve">Docent w Instytucie </w:t>
            </w:r>
            <w:r w:rsidRPr="00E82021">
              <w:rPr>
                <w:rFonts w:ascii="Arial" w:eastAsia="Arial" w:hAnsi="Arial" w:cs="Arial"/>
                <w:color w:val="000000"/>
                <w:sz w:val="20"/>
                <w:szCs w:val="20"/>
              </w:rPr>
              <w:t>Informatyki</w:t>
            </w:r>
            <w:r>
              <w:rPr>
                <w:rFonts w:ascii="Arial" w:eastAsia="Arial" w:hAnsi="Arial" w:cs="Arial"/>
                <w:color w:val="000000"/>
                <w:sz w:val="20"/>
                <w:szCs w:val="20"/>
              </w:rPr>
              <w:t xml:space="preserve"> Wydziału Matematyki, Informatyki i Mechaniki. </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E82021" w:rsidRDefault="00846CB7" w:rsidP="00762B46">
            <w:p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Pełnione funkcje na wydziale MIM UW (obecnie i w przeszłości):</w:t>
            </w:r>
          </w:p>
          <w:p w:rsidR="00846CB7" w:rsidRPr="00E82021" w:rsidRDefault="00846CB7" w:rsidP="0006010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zastępca do spraw dydaktycznych dyrektora Instytutu Informatyki,</w:t>
            </w:r>
          </w:p>
          <w:p w:rsidR="00846CB7" w:rsidRPr="00E82021" w:rsidRDefault="00846CB7" w:rsidP="0006010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członek Rady Wydziału,</w:t>
            </w:r>
          </w:p>
          <w:p w:rsidR="00846CB7" w:rsidRPr="00E82021" w:rsidRDefault="00846CB7" w:rsidP="0006010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członek Wydziałowej Komisji do Spraw Dydaktycznych,</w:t>
            </w:r>
          </w:p>
          <w:p w:rsidR="00846CB7" w:rsidRPr="00E82021" w:rsidRDefault="00846CB7" w:rsidP="0006010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członek Instytutowej Komisji do Spraw Dydaktycznych,</w:t>
            </w:r>
          </w:p>
          <w:p w:rsidR="00846CB7" w:rsidRPr="00E82021" w:rsidRDefault="00846CB7" w:rsidP="0006010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sekretarz Komisji Rekrutacyjnej (2005, 2004, ...),</w:t>
            </w:r>
          </w:p>
          <w:p w:rsidR="00846CB7" w:rsidRPr="00E82021" w:rsidRDefault="00846CB7" w:rsidP="0006010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opiekun studenckiego koła naukowego .NET,</w:t>
            </w:r>
          </w:p>
          <w:p w:rsidR="00846CB7" w:rsidRPr="00E82021" w:rsidRDefault="00846CB7" w:rsidP="0006010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opiekun MSDN AA (wymaga logowania) i ELMS na Wydziale,</w:t>
            </w:r>
          </w:p>
          <w:p w:rsidR="00846CB7" w:rsidRDefault="00846CB7" w:rsidP="0006010B">
            <w:pPr>
              <w:pStyle w:val="Akapitzlist"/>
              <w:numPr>
                <w:ilvl w:val="0"/>
                <w:numId w:val="95"/>
              </w:numPr>
              <w:tabs>
                <w:tab w:val="left" w:pos="1134"/>
              </w:tabs>
              <w:spacing w:after="0" w:line="240" w:lineRule="auto"/>
              <w:ind w:right="505"/>
              <w:jc w:val="both"/>
              <w:rPr>
                <w:rFonts w:ascii="Arial" w:eastAsia="Arial" w:hAnsi="Arial" w:cs="Arial"/>
                <w:color w:val="000000"/>
                <w:sz w:val="20"/>
                <w:szCs w:val="20"/>
              </w:rPr>
            </w:pPr>
            <w:r w:rsidRPr="00E82021">
              <w:rPr>
                <w:rFonts w:ascii="Arial" w:eastAsia="Arial" w:hAnsi="Arial" w:cs="Arial"/>
                <w:color w:val="000000"/>
                <w:sz w:val="20"/>
                <w:szCs w:val="20"/>
              </w:rPr>
              <w:t>Przedstawiciel MIM UW w grantach edukacyjnych.</w:t>
            </w: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c>
          <w:tcPr>
            <w:tcW w:w="9167" w:type="dxa"/>
          </w:tcPr>
          <w:p w:rsidR="00846CB7" w:rsidRPr="007A36FC" w:rsidRDefault="00846CB7" w:rsidP="00762B46">
            <w:pPr>
              <w:tabs>
                <w:tab w:val="left" w:pos="1134"/>
              </w:tabs>
              <w:spacing w:before="120"/>
              <w:ind w:right="503"/>
              <w:jc w:val="both"/>
              <w:rPr>
                <w:rFonts w:ascii="Arial" w:eastAsia="Arial" w:hAnsi="Arial" w:cs="Arial"/>
                <w:b/>
                <w:color w:val="000000"/>
                <w:sz w:val="20"/>
                <w:szCs w:val="20"/>
              </w:rPr>
            </w:pPr>
            <w:r w:rsidRPr="007A36FC">
              <w:rPr>
                <w:rFonts w:ascii="Arial" w:eastAsia="Arial" w:hAnsi="Arial" w:cs="Arial"/>
                <w:b/>
                <w:color w:val="000000"/>
                <w:sz w:val="20"/>
                <w:szCs w:val="20"/>
              </w:rPr>
              <w:t>Zainteresowania badawcze</w:t>
            </w:r>
          </w:p>
        </w:tc>
      </w:tr>
      <w:tr w:rsidR="00846CB7" w:rsidRPr="00E64998" w:rsidTr="00762B46">
        <w:tc>
          <w:tcPr>
            <w:tcW w:w="9167" w:type="dxa"/>
          </w:tcPr>
          <w:p w:rsidR="00846CB7" w:rsidRPr="007A36FC" w:rsidRDefault="00846CB7" w:rsidP="0006010B">
            <w:pPr>
              <w:numPr>
                <w:ilvl w:val="0"/>
                <w:numId w:val="96"/>
              </w:numPr>
              <w:spacing w:before="100" w:beforeAutospacing="1" w:after="100" w:afterAutospacing="1" w:line="240" w:lineRule="auto"/>
              <w:rPr>
                <w:rFonts w:ascii="Arial" w:eastAsia="Times New Roman" w:hAnsi="Arial" w:cs="Arial"/>
                <w:color w:val="000000"/>
                <w:sz w:val="20"/>
                <w:szCs w:val="20"/>
                <w:lang w:val="en-US" w:eastAsia="en-US"/>
              </w:rPr>
            </w:pPr>
            <w:r w:rsidRPr="007A36FC">
              <w:rPr>
                <w:rFonts w:ascii="Arial" w:eastAsia="Times New Roman" w:hAnsi="Arial" w:cs="Arial"/>
                <w:color w:val="000000"/>
                <w:sz w:val="20"/>
                <w:szCs w:val="20"/>
                <w:lang w:val="en-US" w:eastAsia="en-US"/>
              </w:rPr>
              <w:t>semantyka języków programowania,</w:t>
            </w:r>
          </w:p>
          <w:p w:rsidR="00846CB7" w:rsidRPr="007A36FC" w:rsidRDefault="00846CB7" w:rsidP="0006010B">
            <w:pPr>
              <w:numPr>
                <w:ilvl w:val="0"/>
                <w:numId w:val="96"/>
              </w:numPr>
              <w:spacing w:before="100" w:beforeAutospacing="1" w:after="100" w:afterAutospacing="1" w:line="240" w:lineRule="auto"/>
              <w:rPr>
                <w:rFonts w:ascii="Arial" w:eastAsia="Times New Roman" w:hAnsi="Arial" w:cs="Arial"/>
                <w:color w:val="000000"/>
                <w:sz w:val="20"/>
                <w:szCs w:val="20"/>
                <w:lang w:val="en-US" w:eastAsia="en-US"/>
              </w:rPr>
            </w:pPr>
            <w:r w:rsidRPr="007A36FC">
              <w:rPr>
                <w:rFonts w:ascii="Arial" w:eastAsia="Times New Roman" w:hAnsi="Arial" w:cs="Arial"/>
                <w:color w:val="000000"/>
                <w:sz w:val="20"/>
                <w:szCs w:val="20"/>
                <w:lang w:val="en-US" w:eastAsia="en-US"/>
              </w:rPr>
              <w:t>specyfikacje formalne,</w:t>
            </w:r>
          </w:p>
          <w:p w:rsidR="00846CB7" w:rsidRPr="007A36FC" w:rsidRDefault="00846CB7" w:rsidP="0006010B">
            <w:pPr>
              <w:numPr>
                <w:ilvl w:val="0"/>
                <w:numId w:val="96"/>
              </w:numPr>
              <w:spacing w:before="100" w:beforeAutospacing="1" w:after="100" w:afterAutospacing="1" w:line="240" w:lineRule="auto"/>
              <w:rPr>
                <w:rFonts w:ascii="Arial" w:eastAsia="Times New Roman" w:hAnsi="Arial" w:cs="Arial"/>
                <w:color w:val="000000"/>
                <w:sz w:val="20"/>
                <w:szCs w:val="20"/>
                <w:lang w:val="en-US" w:eastAsia="en-US"/>
              </w:rPr>
            </w:pPr>
            <w:r w:rsidRPr="007A36FC">
              <w:rPr>
                <w:rFonts w:ascii="Arial" w:eastAsia="Times New Roman" w:hAnsi="Arial" w:cs="Arial"/>
                <w:color w:val="000000"/>
                <w:sz w:val="20"/>
                <w:szCs w:val="20"/>
                <w:lang w:val="en-US" w:eastAsia="en-US"/>
              </w:rPr>
              <w:t>systemy typów,</w:t>
            </w:r>
          </w:p>
          <w:p w:rsidR="00846CB7" w:rsidRPr="007A36FC" w:rsidRDefault="00846CB7" w:rsidP="0006010B">
            <w:pPr>
              <w:numPr>
                <w:ilvl w:val="0"/>
                <w:numId w:val="96"/>
              </w:numPr>
              <w:spacing w:before="100" w:beforeAutospacing="1" w:after="100" w:afterAutospacing="1" w:line="240" w:lineRule="auto"/>
              <w:rPr>
                <w:rFonts w:ascii="Arial" w:eastAsia="Times New Roman" w:hAnsi="Arial" w:cs="Arial"/>
                <w:color w:val="000000"/>
                <w:sz w:val="20"/>
                <w:szCs w:val="20"/>
                <w:lang w:val="en-US" w:eastAsia="en-US"/>
              </w:rPr>
            </w:pPr>
            <w:r w:rsidRPr="007A36FC">
              <w:rPr>
                <w:rFonts w:ascii="Arial" w:eastAsia="Times New Roman" w:hAnsi="Arial" w:cs="Arial"/>
                <w:color w:val="000000"/>
                <w:sz w:val="20"/>
                <w:szCs w:val="20"/>
                <w:lang w:val="en-US" w:eastAsia="en-US"/>
              </w:rPr>
              <w:t>programowanie obiektowe.</w:t>
            </w:r>
          </w:p>
        </w:tc>
      </w:tr>
      <w:tr w:rsidR="00846CB7" w:rsidTr="00762B46">
        <w:tc>
          <w:tcPr>
            <w:tcW w:w="9167" w:type="dxa"/>
          </w:tcPr>
          <w:p w:rsidR="00846CB7" w:rsidRPr="007A36FC" w:rsidRDefault="00846CB7" w:rsidP="00762B46">
            <w:pPr>
              <w:tabs>
                <w:tab w:val="left" w:pos="1134"/>
              </w:tabs>
              <w:spacing w:before="120"/>
              <w:ind w:right="503"/>
              <w:jc w:val="both"/>
              <w:rPr>
                <w:rFonts w:ascii="Arial" w:eastAsia="Arial" w:hAnsi="Arial" w:cs="Arial"/>
                <w:b/>
                <w:color w:val="000000"/>
                <w:sz w:val="20"/>
                <w:szCs w:val="20"/>
              </w:rPr>
            </w:pPr>
            <w:r w:rsidRPr="007A36FC">
              <w:rPr>
                <w:rFonts w:ascii="Arial" w:eastAsia="Arial" w:hAnsi="Arial" w:cs="Arial"/>
                <w:b/>
                <w:color w:val="000000"/>
                <w:sz w:val="20"/>
                <w:szCs w:val="20"/>
              </w:rPr>
              <w:t>Osiągnięcia naukowe i doświadczenie dydaktyczne</w:t>
            </w:r>
          </w:p>
        </w:tc>
      </w:tr>
      <w:tr w:rsidR="00846CB7" w:rsidTr="00762B46">
        <w:tc>
          <w:tcPr>
            <w:tcW w:w="9167" w:type="dxa"/>
          </w:tcPr>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lastRenderedPageBreak/>
              <w:t>* Brałem udział w pracach nad stworzeniem nowego programu zajęć na kierunku Informatyka, wprowadzanym od roku 2022/23</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Opiekuję się (od samego wprowadzania) wydziałowym Moodlem, propaguję wśród pracowników wydziału używanie tego narzędzia. W związku z pandemią w roku 2020 byłem bardziej niż zwykle zaangażowany w te działania (pomagałem w tworzeniu kursów, organizowaniu help-desku, prowadziłem listę pytań i odpowiedzi, udostępniłem samouczek do Moodle'a).</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W roku 2020 otrzymałem wraz z mgr. Bokotą grant uniwersyteckiego Funduszu Innowacji Dydaktycznych na przygotowanie zajęć z wykorzystania Pythona do przetwarzania danych. Zajęcia te były odpowiedzią na zapotrzebowanie zgłoszone przez klika Wydziałów naszej Uczelni.</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Jestem autorem szeregu kursów w Wydziałowym Moodle'u.</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W 2017 roku otrzymałem Wyróżnienie przez JM Rektora UW (za całokształt pracy).</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Koordynuję wiele zajęć, m.in. prowadzonych dla innych wydziałów (Technologie informacyjne, WdI, PiPO, PO, POiC++, ZPP).</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Jestem członkiem Komisji Rady Wydziału do Spraw Dydaktycznych (na dwu wydziałach).</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Przetłumaczyłem następujące książki:</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xml:space="preserve">   - Podstawy programowania współbieżnego i rozproszonego, M.Ben-Ari, WNT, 1996.</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xml:space="preserve">   - Podstawy metod obiektowych, J.Martin, J.J.Odell, WNT, 1997.</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xml:space="preserve">   - Wzorce projektowe, E.Gamma, R.Helm, R.Johnson, J.Vlissides, WNT, 2005.</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Dane szczegółowe:</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Zajęcia prowadzone w okresie od 2017-10-01 do 2021-09-30.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 Rok akademicki 2017/18, [1000-2D03PO] Zagadnienia programowania obiektowego, seminarium</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magisterskie, gr. 1, 60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 Rok akademicki 2017/18, [1000-2L5ZPP] Zespołowy projekt programistyczny, proseminarium, gr. 1, 60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 Semestr letni 2017/18, [1000-212bPO] Programowanie obiektowe,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 Semestr letni 2017/18, [3222-30TI4K-N] Technologie informacyjne,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 Semestr letni 2017/18, [3401-PRPS1-1TEId] Technologia informacyjna, konwersatorium, gr. 2,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 Semestr letni 2017/18, [3401-PRPS1-1TEId] Technologia informacyjna, konwersatorium, gr. 5,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 Semestr letni 2017/18, [3501-KOG-WI] Wstęp do informatyki,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 Semestr letni 2017/18, [3501-KOG-WI] Wstęp do informatyki,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 Semestr zimowy 2017/18, [1000-135POC] Programowanie obiektowe i C++, ćwiczenia,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10. Semestr zimowy 2017/18, [1000-135POC] Programowanie obiektowe i C++,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11. Semestr zimowy 2017/18, [1000-713PPO] Programowanie i projektowanie obiektowe, laboratorium,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12. Semestr zimowy 2017/18, [1000-713PPO] Programowanie i projektowanie obiektowe, wykład, gr. 1, 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13. Semestr zimowy 2017/18, [2300-TI1] Technologia informacyjna,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14. Semestr zimowy 2017/18, [2300-TI1] Technologia informacyjna, laboratorium, gr. 2,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15. Semestr zimowy 2017/18, [2300-TI1] Technologia informacyjna, laboratorium, gr. 9,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16. Semestr zimowy 2017/18, [2300-TI1] Technologia informacyjna, laboratorium, gr. 10,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17. Semestr zimowy 2017/18, [2300-TI1] Technologia informacyjna, laboratorium, gr. 13,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18. Semestr zimowy 2017/18, [3501-KOG-PPO2] Programowanie i projektowanie obiektowe, ćwiczenia, gr. 3,</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19. Semestr zimowy 2017/18, [3501-KOG-PPO2] Programowanie i projektowanie obiektowe, wykład, gr. 1, 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20. Semestr zimowy 2017/18, [3501-KOG-WI-SZK] E-learning informatyczny, kurs internetowy, gr. 1, 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21. Rok akademicki 2018/19, [1000-2D03PO] Zagadnienia programowania obiektowego, seminarium</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magisterskie, gr. 1, 60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lastRenderedPageBreak/>
              <w:t>22. Rok akademicki 2018/19, [1000-2L5ZPP] Zespołowy projekt programistyczny, proseminarium, gr. 1, 60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23. Semestr letni 2018/19, [1000-212bPO] Programowanie obiektowe,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24. Semestr letni 2018/19, [2104-UPIR-D2INTE] Information technologies, konwersatorium, gr. 1, 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25. Semestr letni 2018/19, [2104-UPIR-D2INTE] Information technologies, konwersatorium, gr. 2, 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26. Semestr letni 2018/19, [2300-MD-ARM-MNZ] MD - Metodyka nauczania zdalnego, konwersatorium,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27. Semestr letni 2018/19, [2300-N-MD-ART-MNZ] MD-Metodyka nauczania zdalnego, konwersatorium,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16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28. Semestr letni 2018/19, [3401-PRPS1-1TEId] Technologia informacyjna, konwersatorium,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29. Semestr letni 2018/19, [3401-PRPS1-1TEId] Technologia informacyjna, konwersatorium, gr. 4,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Semestr letni 2018/19, [3501-KOG-WI] Wstęp do informatyki,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31. Semestr letni 2018/19, [3501-KOG-WI] Wstęp do informatyki,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32. Semestr letni 2018/19, [3501-WISIP-IT] Information Technologies,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33. Semestr letni 2018/19, [4219-AL006] Information Technology (Technologie informacyjne), ćwiczenia, gr. 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34. Semestr zimowy 2018/19, [1000-135POC] Programowanie obiektowe i C++, ćwiczenia,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35. Semestr zimowy 2018/19, [1000-135POC] Programowanie obiektowe i C++, ćwiczenia, gr. 2,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36. Semestr zimowy 2018/19, [1000-135POC] Programowanie obiektowe i C++,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37. Semestr zimowy 2018/19, [1000-713PPO] Programowanie i projektowanie obiektowe, laboratorium,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38. Semestr zimowy 2018/19, [1000-713PPO] Programowanie i projektowanie obiektowe, wykład, gr. 1, 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39. Semestr zimowy 2018/19, [2300-TI1] Technologia informacyjna, laboratorium, gr. 5,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40. Semestr zimowy 2018/19, [2300-TI1] Technologia informacyjna, laboratorium, gr. 6,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41. Semestr zimowy 2018/19, [2300-TI1] Technologia informacyjna, laboratorium, gr. 10,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42. Semestr zimowy 2018/19, [2300-TI1] Technologia informacyjna, laboratorium, gr. 11,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43. Semestr zimowy 2018/19, [2300-TI1] Technologia informacyjna, laboratorium, gr. 13,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44. Semestr zimowy 2018/19, [3104-L2TI] Technologia Informacyjna, ćwiczenia, gr. 13,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45. Semestr zimowy 2018/19, [3501-KOG-PPO2] Programowanie i projektowanie obiektowe, ćwiczenia, gr. 3,</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46. Semestr zimowy 2018/19, [3501-KOG-PPO2] Programowanie i projektowanie obiektowe, wykład, gr. 1, 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47. Semestr zimowy 2018/19, [3501-KOG-WI-SZK] E-learning informatyczny, ćwiczenia, gr. 1, 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48. Rok akademicki 2019/20, [1000-2D03PO] Zagadnienia programowania obiektowego, seminarium</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magisterskie,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49. Rok akademicki 2019/20, [1000-2L5ZPP] Zespołowy projekt programistyczny, proseminarium, gr. 1, 60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50. Semestr letni 2019/20, [1000-212bPO] Programowanie obiektowe,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51. Semestr letni 2019/20, [2102-ANG-M-D2CAIT] Communication and Information Technologies, warsztaty,</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gr. 1, 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lastRenderedPageBreak/>
              <w:t>52. Semestr letni 2019/20, [2102-ANG-M-D2CAIT] Communication and Information Technologies, warsztaty,</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gr. 2, 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53. Semestr letni 2019/20, [2104-UPIR-D2ICTE] Information and Communication Technologies, ćwiczenia, gr.</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3,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54. Semestr letni 2019/20, [2104-UPIR-D2ICTE] Information and Communication Technologies, ćwiczenia, gr.</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55. Semestr letni 2019/20, [2300-MD-ARM-MNZ] MD - Metodyka nauczania zdalnego, kurs internetowy,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24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56. Semestr letni 2019/20, [2300-MD-ARM-MNZ] MD - Metodyka nauczania zdalnego, konwersatorium,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57. Semestr letni 2019/20, [2300-N-MD-ART-MNZ] MD-Metodyka nauczania zdalnego, konwersatorium,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16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58. Semestr letni 2019/20, [3501-KOG-WI] Wstęp do informatyki,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59. Semestr letni 2019/20, [3501-KOG-WI] Wstęp do informatyki,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60. Semestr letni 2019/20, [4219-AL006] Information Technology (Technologie informacyjne), ćwiczenia, gr. 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61. Semestr letni 2019/20, [4219-AL006] Information Technology (Technologie informacyjne), ćwiczenia, gr. 7,</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62. Semestr letni 2019/20, [4219-AL006] Information Technology (Technologie informacyjne), ćwiczenia, gr. 8,</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63. Semestr zimowy 2019/20, [1000-135POC] Programowanie obiektowe i C++,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64. Semestr zimowy 2019/20, [1000-713PPO] Programowanie i projektowanie obiektowe, laboratorium,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65. Semestr zimowy 2019/20, [1000-713PPO] Programowanie i projektowanie obiektowe,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66. Semestr zimowy 2019/20, [2300-TI1] Technologia informacyjna, laboratorium, gr. 2,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67. Semestr zimowy 2019/20, [3501-KOG-PPO2] Programowanie i projektowanie obiektowe, ćwiczenia, gr. 2,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68. Semestr zimowy 2019/20, [3501-KOG-PPO2] Programowanie i projektowanie obiektowe, ćwiczenia, gr. 3,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69. Semestr zimowy 2019/20, [3501-KOG-PPO2] Programowanie i projektowanie obiektowe,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70. Semestr zimowy 2019/20, [3501-KOG-WI-SZK] E-learning informatyczny, ćwiczenia,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71. Rok akademicki 2020/21, [1000-2D03PO] Zagadnienia programowania obiektowego, seminarium</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magisterskie,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72. Rok akademicki 2020/21, [1000-2L5ZPP] Zespołowy projekt programistyczny, proseminarium, gr. 1, 60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73. Semestr letni 2020/21, [1000-1M20NPD] Narzędzia programistyczne w Pythonie wspierające analizę</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danych,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74. Semestr letni 2020/21, [1000-212bPO] Programowanie obiektowe, ćwiczenia,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75. Semestr letni 2020/21, [1000-212bPO] Programowanie obiektowe,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76. Semestr letni 2020/21, [1000-212bPO] Programowanie obiektowe,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77. Semestr letni 2020/21, [2300-MD-ARM-MNZ] MD - Metodyka nauczania zdalnego, kurs internetowy,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24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78. Semestr letni 2020/21, [2300-MD-ARM-MNZ] MD - Metodyka nauczania zdalnego, konwersatorium,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lastRenderedPageBreak/>
              <w:t>6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79. Semestr letni 2020/21, [3501-KOG-WI] Wstęp do informatyki, ćwiczenia, gr. 5,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80. Semestr letni 2020/21, [3501-KOG-WI] Wstęp do informatyki,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81. Semestr letni 2020/21, [4219-AL006] Information Technology (Technologie informacyjne), ćwiczenia,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82. Semestr letni 2020/21, [4219-AL006] Information Technology (Technologie informacyjne), ćwiczenia, gr. 5,</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83. Semestr letni 2020/21, [4219-AL006] Information Technology (Technologie informacyjne), ćwiczenia, gr. 7,</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84. Semestr zimowy 2020/21, [1000-135POC] Programowanie obiektowe i C++,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85. Semestr zimowy 2020/21, [1000-1M20NPD] Narzędzia programistyczne w Pythonie wspierające analizę</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danych, wykład,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86. Semestr zimowy 2020/21, [1000-713PPO] Programowanie i projektowanie obiektowe, laboratorium,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87. Semestr zimowy 2020/21, [1000-713PPO] Programowanie i projektowanie obiektowe, wykład, gr. 1, 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88. Semestr zimowy 2020/21, [2102-M-D3TINK] Technologie informacyjne i komunikacyjne, ćwiczenia, gr. 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89. Semestr zimowy 2020/21, [2102-M-D3TINK] Technologie informacyjne i komunikacyjne, ćwiczenia, gr. 4,</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15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90. Semestr zimowy 2020/21, [2300-TI1] Technologia informacyjna, laboratorium, gr. 8,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91. Semestr zimowy 2020/21, [3501-KOG-PPO2] Programowanie i projektowanie obiektowe, ćwiczenia, gr. 3,</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92. Semestr zimowy 2020/21, [3501-KOG-PPO2] Programowanie i projektowanie obiektowe, wykład, gr. 1, 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93. Semestr zimowy 2020/21, [3501-KOG-WI-SZK] E-learning informatyczny, ćwiczenia,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94. Semestr zimowy 2020/21, [3501-WISIP-IT] Information Technologies, laboratorium, gr. 1, 30 godz.</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Prace licencjackie złożone w okresie od 2017-10-01 do 2021-09-30.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 Michał Kosior, Piotr Nosek, Wojciech Opydo, Arkadiusz Roussau, "Edukator" (2018-07-02)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2. Maciej Biernaczyk, Agata Dubiak, Szymon Pajzert, Jakub Skorupski, "The engine to execute stock market</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strategies on cryptocurrency derivatives markets" (2018-07-02)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 Artur Myszkowski, Miłosz Rzeźnikowski, Piotr Szulc, "Uniwersalna aplikacja festiwalowa na urządzenia</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mobilne" (2018-07-02)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 Hubert Banaszewski, Jakub Grzywacz, Michał Orawiec, Ryszard Poklewski-Koziełł, "Zaawansowana</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analityka w esporcie" (2018-07-02)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 Kamil Ćwintal, Szymon Gajda, Paweł Giżka, Tomasz Kanas, "Aplikacja mobilna &amp;quot;Podziel</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się&amp;quot;" (2019-06-28)</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 Piotr Olczak, Michał Radecki, Jakub Romanowski, Amelia Rossowska, "Platforma do obsługi wirtualnych</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kart podarunkowych" (2019-06-28)</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 Michał Pawłowski, Jakub Sieroń, Marcin Byra, Mateusz Masiak, "Portfolio Optimisation using Monte Carlo</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Graph and Neural Networks" (2019-07-03)</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lastRenderedPageBreak/>
              <w:t>8. Marcin Oszczyk, Maciej Riedl, Michał Szafraniuk, "Wykorzystanie Monte Carlo Tree Search do</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optymalizacji portfeli inwestycyjnych" (2019-09-04)</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 Mikołaj Grzywacz, Jan Bednarski, Maciej Kozłowski, Kacper Rokicki, "Monitorowanie skupisk ludzkich</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podczas kwarantanny na podstawie danych geolokalizacyjnych" (2020-06-16)</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10. Kamil Dubil, Piotr Krzywicki, Wojciech Matusiak, Jan Żak, "Civet – narzędzie do porównywania</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algorytmów deduplikacji danych" (2020-06-17)</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11. Mateusz Kobak, Iwona Kotlarska, Krzysztof Piesiewicz, Tomasz Grześkiewicz, "Dataloading optimization</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in deep learning systems" (2020-06-17)</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12. Marcin Abramowicz, Andrzej Głuszak, Gerard Dróżdż, Magdalena Augustyńska, "Improving the Build</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Server Protocol ecosystem" (2021-06-16)</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13. Jakub Jasek, Tomasz Necio, Adam Rozenek, Wojciech Kłopotek, "Natural language processing driven</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therapeutic chatbot" (2021-06-16)</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val="en-US" w:eastAsia="en-US"/>
              </w:rPr>
            </w:pPr>
            <w:r w:rsidRPr="007A36FC">
              <w:rPr>
                <w:rFonts w:ascii="Arial" w:eastAsiaTheme="minorHAnsi" w:hAnsi="Arial" w:cs="Arial"/>
                <w:color w:val="000000"/>
                <w:sz w:val="20"/>
                <w:szCs w:val="20"/>
                <w:lang w:val="en-US" w:eastAsia="en-US"/>
              </w:rPr>
              <w:t>14. Marta Markocka, Kacper Kuta, Andrzej Siuciak, Marek Wesołowski, "Wieloplatformowa aplikacja mobilna</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stanowiąca kompleksowy serwis korepetycyjny" (2021-06-16)</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15. Łukasz Urban, Karol Soczewica, Kamil Grudzień, Mieszko Sabo, "Predykcja cen instrumentów</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finansowych z użyciem transformerów fuzji czasowych" (2021-06-22)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Prace magisterskie  złożone w okresie od 2017-10-01 do 2021-09-30: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 Michał Gołębiowski-Owczarek, "Polona - Cyfrowa Biblioteka Narodowa jako javascriptowa aplikacja</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pojedynczej strony" (2018-10-08)</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2. Radosław Kondziołka, "Implementacja gniazd sieciowych UDP dla Javy przy użyciu gniazd AF_PACKET</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oraz mechanizmu PACKET_MMAP" (2018-11-20)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3. Norbert Gregorek, "Skanowanie pustego pomieszczenia na podstawie chmury punktów" (2018-12-04)</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4. Stanisław Mączka, "Komputerowy system generowania i edycji rotacji w brydżu sportowym" (2019-09-02)</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5. Paweł Uchman, "System sterujący pojazdem autonomicznym" (2019-12-30)</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6. Adam Czapliński, "Wprowadzanie do programu informacji o zastosowanych wzorcach projektowych i</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utrzymywanie ich przy kolejnych zmianach kodu" (2020-06-01)</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7. Wojciech Opydo, "Problemy wydajnościowe i metody ich eliminacji w mapowaniu relacyjno-obiektowym w</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Hibernate" (2020-06-16)</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8. Piotr Zieliński, "Proces migracji wersji Pythona oraz automatyzacja tego procesu." (2020-06-16)</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9. Michał Kosior, "Serwis do wydobywania danych ze skanów faktur." (2020-06-16)</w:t>
            </w:r>
          </w:p>
          <w:p w:rsidR="00846CB7" w:rsidRPr="007A36FC"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10. Robert Suchocki, "Optymalizacja zapytań w Django ORM" (2020-09-06)</w:t>
            </w:r>
          </w:p>
          <w:p w:rsidR="00846CB7" w:rsidRDefault="00846CB7" w:rsidP="00762B46">
            <w:pPr>
              <w:autoSpaceDE w:val="0"/>
              <w:autoSpaceDN w:val="0"/>
              <w:adjustRightInd w:val="0"/>
              <w:spacing w:after="0" w:line="240" w:lineRule="auto"/>
              <w:rPr>
                <w:rFonts w:ascii="Arial" w:eastAsiaTheme="minorHAnsi" w:hAnsi="Arial" w:cs="Arial"/>
                <w:color w:val="000000"/>
                <w:sz w:val="20"/>
                <w:szCs w:val="20"/>
                <w:lang w:eastAsia="en-US"/>
              </w:rPr>
            </w:pPr>
            <w:r w:rsidRPr="007A36FC">
              <w:rPr>
                <w:rFonts w:ascii="Arial" w:eastAsiaTheme="minorHAnsi" w:hAnsi="Arial" w:cs="Arial"/>
                <w:color w:val="000000"/>
                <w:sz w:val="20"/>
                <w:szCs w:val="20"/>
                <w:lang w:eastAsia="en-US"/>
              </w:rPr>
              <w:t>11. Tomasz Kacperek, "Analiza porównawcza implementacji oraz wykorzystania wyrażeń lambda w językach C++, Java i JavaScript" (2020-12-13)</w:t>
            </w:r>
          </w:p>
          <w:p w:rsidR="00846CB7" w:rsidRPr="007A36FC" w:rsidRDefault="00846CB7" w:rsidP="00762B46">
            <w:pPr>
              <w:autoSpaceDE w:val="0"/>
              <w:autoSpaceDN w:val="0"/>
              <w:adjustRightInd w:val="0"/>
              <w:spacing w:after="0" w:line="240" w:lineRule="auto"/>
              <w:rPr>
                <w:rFonts w:ascii="Arial" w:eastAsia="Arial" w:hAnsi="Arial" w:cs="Arial"/>
                <w:b/>
                <w:color w:val="000000"/>
                <w:sz w:val="20"/>
                <w:szCs w:val="20"/>
              </w:rPr>
            </w:pPr>
          </w:p>
        </w:tc>
      </w:tr>
      <w:tr w:rsidR="00846CB7" w:rsidRPr="00FF08A2" w:rsidTr="00762B46">
        <w:tc>
          <w:tcPr>
            <w:tcW w:w="9167" w:type="dxa"/>
          </w:tcPr>
          <w:p w:rsidR="00846CB7" w:rsidRDefault="00846CB7" w:rsidP="00762B46">
            <w:pPr>
              <w:tabs>
                <w:tab w:val="left" w:pos="720"/>
              </w:tabs>
              <w:ind w:right="503"/>
              <w:jc w:val="both"/>
              <w:rPr>
                <w:rFonts w:ascii="Arial" w:eastAsia="Arial" w:hAnsi="Arial" w:cs="Arial"/>
                <w:b/>
                <w:bCs/>
                <w:color w:val="000000"/>
                <w:sz w:val="20"/>
                <w:szCs w:val="20"/>
              </w:rPr>
            </w:pPr>
          </w:p>
          <w:p w:rsidR="00846CB7" w:rsidRDefault="00846CB7" w:rsidP="00762B46">
            <w:pPr>
              <w:tabs>
                <w:tab w:val="left" w:pos="720"/>
              </w:tabs>
              <w:ind w:right="503"/>
              <w:jc w:val="both"/>
              <w:rPr>
                <w:rFonts w:ascii="Arial" w:eastAsia="Arial" w:hAnsi="Arial" w:cs="Arial"/>
                <w:b/>
                <w:bCs/>
                <w:color w:val="000000"/>
                <w:sz w:val="20"/>
                <w:szCs w:val="20"/>
              </w:rPr>
            </w:pPr>
            <w:r>
              <w:rPr>
                <w:rFonts w:ascii="Arial" w:eastAsia="Arial" w:hAnsi="Arial" w:cs="Arial"/>
                <w:b/>
                <w:bCs/>
                <w:color w:val="000000"/>
                <w:sz w:val="20"/>
                <w:szCs w:val="20"/>
              </w:rPr>
              <w:t>O</w:t>
            </w:r>
            <w:r w:rsidRPr="009D1E04">
              <w:rPr>
                <w:rFonts w:ascii="Arial" w:eastAsia="Arial" w:hAnsi="Arial" w:cs="Arial"/>
                <w:b/>
                <w:bCs/>
                <w:color w:val="000000"/>
                <w:sz w:val="20"/>
                <w:szCs w:val="20"/>
              </w:rPr>
              <w:t>statnie publikacje:</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lang w:val="en-US"/>
              </w:rPr>
              <w:t xml:space="preserve">Computer Aided Development of Correct Programs; Janusz Jabłonowski; str. </w:t>
            </w:r>
            <w:r w:rsidRPr="007A36FC">
              <w:rPr>
                <w:rFonts w:ascii="Arial" w:eastAsia="Arial" w:hAnsi="Arial" w:cs="Arial"/>
                <w:color w:val="000000"/>
                <w:sz w:val="20"/>
                <w:szCs w:val="20"/>
              </w:rPr>
              <w:t>II.2-1 - II.2-6; Bulgarian Chapter of ACM; konferencja: ComSysTech'2002, Sofia, VI-2002.</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rPr>
              <w:t>Programowanie zespołowe – przegląd doświadczeń na przykładzie Zespołowego Projektu Programistycznego Janusz Jabłonowski, V Krajowa Konferencja Inżynierii Oprogramowania (KKIO V), Szklarska Poręba, 2003, w "Problemy i metody Inżynierii Oprogramowania", pod redakcją Zbigniewa Huzara i Zygmunta Mazura, WNT 2003.</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Some Experiences in Teaching Teamwork Programming, Janusz Jabłonowski, str. IV.2-1 - IV.2-6; Bulgarian Chapter of ACM; konferencja: ComSysTech'2003, Sofia, VI-2003.</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rPr>
              <w:lastRenderedPageBreak/>
              <w:t>Typy uogólnione w Javie; Janusz Jabłonowski; VI Krajowa Konferencja Inżynierii Oprogramowania; edytorzy: Janusz Górski, Andrzej Wardziński,  Wydawnictwa Naukowo Techniczne; str. 479-490; 2004.</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 xml:space="preserve">Some Remarks on Teaching of Programming; Janusz Jabłonowski;  International Conference on Computer Systems and Technologies - CompSysTech'2004; 17-18 czerwca 2004; edytorzy: B.Rachev, A. Smrikarov; str. IV.10-1 IV.10-6; Proceedings of the conference by Bulgarian Chapter of ACM; 2004. </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Some Notes on Generics in C#; Janusz Jabłonowski;  International Conference on Computer Systems and Technologies - CompSysTech'2005; Warna 2005; str. 31-36; Proceedings of the conference by Bulgarian Chapter of ACM; 2005.</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rPr>
              <w:t>Wykład z programowania obiektowego na portalu Ważniak; Janusz Jabłonowski, Jacek Sroka; 2006.</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Some remarks on using Moodle in distant learning; Janusz Jabłonowski; Communication &amp; cognition. Monographies ISSN 0378-0880, Belgia; str. 189-193; 2006.</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lang w:val="en-US"/>
              </w:rPr>
              <w:t xml:space="preserve">Changes in Computer Science Teaching at Warsaw University; Janusz Jabłonowski; International Conference on Computer Systems and Technologies - CompSysTech' 2006, Veliko Turnovo, Bułgaria, str. </w:t>
            </w:r>
            <w:r w:rsidRPr="007A36FC">
              <w:rPr>
                <w:rFonts w:ascii="Arial" w:eastAsia="Arial" w:hAnsi="Arial" w:cs="Arial"/>
                <w:color w:val="000000"/>
                <w:sz w:val="20"/>
                <w:szCs w:val="20"/>
              </w:rPr>
              <w:t>IV.10.; 2006.</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rPr>
              <w:t>Przysposobienie informatyczne; Michał Bassa, Robert Dąbrowski, Marcin Engel, Janusz Jabłonowski i Piotr Krzyżanowski; Materiały dydaktyczne UW; 2006.</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An approach to distance studies organization; Krzysztof Ciebiera, Krzysztof Diks; Janusz Jabłonowski; Proceedings of e-learning conference 2007, Istanbul, ISBN 978-975-6437-75-9; 2007.</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A case study in introductory programming; Janusz Jabłonowski; ACM International Conference Proceeding Series; Vol. 285  archive Proceedings of the 2007 international conference on Computer systems and technologies, Bułgaria, art. nr 82; ISBN:978-954-9641-50-9; 2007.</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Some remarks about OO teaching; Janusz Jabłonowski; CompSysTech '09 Proceedings of the International Conference on Computer Systems and Technologies; ACM, ISBN: 978-1-60558-986-2.</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Moodle and traditional teaching; Jausz Jabłonowski; International Conference on e-Learning and the Knowledge Society - e-Learning’09; Berlin.</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lang w:val="en-US"/>
              </w:rPr>
            </w:pPr>
            <w:r w:rsidRPr="007A36FC">
              <w:rPr>
                <w:rFonts w:ascii="Arial" w:eastAsia="Arial" w:hAnsi="Arial" w:cs="Arial"/>
                <w:color w:val="000000"/>
                <w:sz w:val="20"/>
                <w:szCs w:val="20"/>
                <w:lang w:val="en-US"/>
              </w:rPr>
              <w:t>A Distributed Service Oriented System for GUI Map Generation; Paweł Brach, Jacek Chrząszcz, Janusz Jabłonowski, Jakub Światły. Proceedings of CompSysTech'11, New York, NY, USA, ACM 2011, pp 69-74. (praca wyróżniona: w kategorii "BEST PAPER" crystal prize).</w:t>
            </w:r>
          </w:p>
          <w:p w:rsidR="00846CB7" w:rsidRPr="007A36FC" w:rsidRDefault="00846CB7" w:rsidP="0006010B">
            <w:pPr>
              <w:pStyle w:val="Akapitzlist"/>
              <w:numPr>
                <w:ilvl w:val="0"/>
                <w:numId w:val="97"/>
              </w:numPr>
              <w:tabs>
                <w:tab w:val="left" w:pos="720"/>
              </w:tabs>
              <w:ind w:right="503"/>
              <w:jc w:val="both"/>
              <w:rPr>
                <w:rFonts w:ascii="Arial" w:eastAsia="Arial" w:hAnsi="Arial" w:cs="Arial"/>
                <w:color w:val="000000"/>
                <w:sz w:val="20"/>
                <w:szCs w:val="20"/>
              </w:rPr>
            </w:pPr>
            <w:r w:rsidRPr="007A36FC">
              <w:rPr>
                <w:rFonts w:ascii="Arial" w:eastAsia="Arial" w:hAnsi="Arial" w:cs="Arial"/>
                <w:color w:val="000000"/>
                <w:sz w:val="20"/>
                <w:szCs w:val="20"/>
                <w:lang w:val="en-US"/>
              </w:rPr>
              <w:t xml:space="preserve">Cartographer: Architecture of a distributed system for automated GUI map generation. Paweł Brach, Jacek Chrząszcz, Janusz Jabłonowski, and Jakub Światły. Proceedings of IMECS'11, S. I. Ao, O. Castillo, C. Douglas, D. Feng, and J.-A Lee, editors, Lecture Notes in Engineering and Computer Science. </w:t>
            </w:r>
            <w:r w:rsidRPr="007A36FC">
              <w:rPr>
                <w:rFonts w:ascii="Arial" w:eastAsia="Arial" w:hAnsi="Arial" w:cs="Arial"/>
                <w:color w:val="000000"/>
                <w:sz w:val="20"/>
                <w:szCs w:val="20"/>
              </w:rPr>
              <w:t>International Association of Engineers, Newswood Limited 2011, pp. 761-766. (praca wyróżniona, ale w kategorii best student paper zwn. prezentującego).</w:t>
            </w:r>
          </w:p>
          <w:p w:rsidR="00846CB7" w:rsidRDefault="00846CB7" w:rsidP="00762B46">
            <w:pPr>
              <w:tabs>
                <w:tab w:val="left" w:pos="720"/>
              </w:tabs>
              <w:ind w:right="503"/>
              <w:jc w:val="both"/>
              <w:rPr>
                <w:rFonts w:ascii="Arial" w:eastAsia="Arial" w:hAnsi="Arial" w:cs="Arial"/>
                <w:b/>
                <w:bCs/>
                <w:color w:val="000000"/>
                <w:sz w:val="20"/>
                <w:szCs w:val="20"/>
              </w:rPr>
            </w:pPr>
            <w:r>
              <w:rPr>
                <w:rFonts w:ascii="Arial" w:eastAsia="Arial" w:hAnsi="Arial" w:cs="Arial"/>
                <w:b/>
                <w:bCs/>
                <w:color w:val="000000"/>
                <w:sz w:val="20"/>
                <w:szCs w:val="20"/>
              </w:rPr>
              <w:t>Udział w projektach badawczych:</w:t>
            </w:r>
          </w:p>
          <w:p w:rsidR="00846CB7" w:rsidRDefault="00846CB7" w:rsidP="00762B46">
            <w:pPr>
              <w:autoSpaceDE w:val="0"/>
              <w:autoSpaceDN w:val="0"/>
              <w:adjustRightInd w:val="0"/>
              <w:spacing w:after="0" w:line="240" w:lineRule="auto"/>
              <w:rPr>
                <w:rFonts w:ascii="Arial" w:eastAsiaTheme="minorHAnsi" w:hAnsi="Arial" w:cs="Arial"/>
                <w:sz w:val="20"/>
                <w:szCs w:val="20"/>
                <w:lang w:eastAsia="en-US"/>
              </w:rPr>
            </w:pPr>
            <w:r w:rsidRPr="007A36FC">
              <w:rPr>
                <w:rFonts w:ascii="Arial" w:eastAsiaTheme="minorHAnsi" w:hAnsi="Arial" w:cs="Arial"/>
                <w:sz w:val="20"/>
                <w:szCs w:val="20"/>
                <w:lang w:eastAsia="en-US"/>
              </w:rPr>
              <w:t>* Uczestniczyłem w międzynarodowych grantach związanych z nauczaniem informatyki (ETEC TN, DEC TN, TRICE TN, FETCH TN).</w:t>
            </w:r>
          </w:p>
          <w:p w:rsidR="00846CB7" w:rsidRPr="007A36FC" w:rsidRDefault="00846CB7" w:rsidP="00762B46">
            <w:pPr>
              <w:autoSpaceDE w:val="0"/>
              <w:autoSpaceDN w:val="0"/>
              <w:adjustRightInd w:val="0"/>
              <w:spacing w:after="0" w:line="240" w:lineRule="auto"/>
              <w:rPr>
                <w:rFonts w:ascii="Arial" w:eastAsiaTheme="minorHAnsi" w:hAnsi="Arial" w:cs="Arial"/>
                <w:sz w:val="20"/>
                <w:szCs w:val="20"/>
                <w:lang w:eastAsia="en-US"/>
              </w:rPr>
            </w:pP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w:t>
            </w:r>
            <w:r w:rsidRPr="00FB69F1">
              <w:rPr>
                <w:rFonts w:ascii="Arial" w:eastAsia="Arial" w:hAnsi="Arial" w:cs="Arial"/>
                <w:b/>
                <w:color w:val="000000"/>
                <w:sz w:val="20"/>
                <w:szCs w:val="20"/>
              </w:rPr>
              <w:t>r</w:t>
            </w:r>
            <w:r>
              <w:rPr>
                <w:rFonts w:ascii="Arial" w:eastAsia="Arial" w:hAnsi="Arial" w:cs="Arial"/>
                <w:b/>
                <w:color w:val="000000"/>
                <w:sz w:val="20"/>
                <w:szCs w:val="20"/>
              </w:rPr>
              <w:t xml:space="preserve"> Szymon Nowakowski</w:t>
            </w:r>
          </w:p>
        </w:tc>
      </w:tr>
      <w:tr w:rsidR="00846CB7" w:rsidTr="00762B46">
        <w:tc>
          <w:tcPr>
            <w:tcW w:w="9167" w:type="dxa"/>
          </w:tcPr>
          <w:p w:rsidR="00846CB7" w:rsidRDefault="00846CB7" w:rsidP="00762B46">
            <w:pPr>
              <w:tabs>
                <w:tab w:val="left" w:pos="1134"/>
              </w:tabs>
              <w:spacing w:after="0" w:line="240" w:lineRule="auto"/>
              <w:ind w:right="505"/>
              <w:jc w:val="both"/>
              <w:rPr>
                <w:rFonts w:ascii="Arial" w:eastAsia="Arial" w:hAnsi="Arial" w:cs="Arial"/>
                <w:b/>
                <w:bCs/>
                <w:color w:val="000000"/>
                <w:sz w:val="20"/>
                <w:szCs w:val="20"/>
              </w:rPr>
            </w:pPr>
          </w:p>
          <w:p w:rsidR="00846CB7" w:rsidRDefault="00846CB7" w:rsidP="00762B46">
            <w:pPr>
              <w:tabs>
                <w:tab w:val="left" w:pos="1134"/>
              </w:tabs>
              <w:spacing w:after="0" w:line="240" w:lineRule="auto"/>
              <w:ind w:right="505"/>
              <w:jc w:val="both"/>
              <w:rPr>
                <w:rFonts w:ascii="Arial" w:eastAsia="Arial" w:hAnsi="Arial" w:cs="Arial"/>
                <w:b/>
                <w:bCs/>
                <w:color w:val="000000"/>
                <w:sz w:val="20"/>
                <w:szCs w:val="20"/>
              </w:rPr>
            </w:pPr>
            <w:r w:rsidRPr="00593C7E">
              <w:rPr>
                <w:rFonts w:ascii="Arial" w:eastAsia="Arial" w:hAnsi="Arial" w:cs="Arial"/>
                <w:b/>
                <w:bCs/>
                <w:color w:val="000000"/>
                <w:sz w:val="20"/>
                <w:szCs w:val="20"/>
              </w:rPr>
              <w:t>UMIEJĘTNOŚCI ZAWODOWE</w:t>
            </w:r>
          </w:p>
          <w:p w:rsidR="00846CB7" w:rsidRPr="00593C7E" w:rsidRDefault="00846CB7" w:rsidP="00762B46">
            <w:pPr>
              <w:tabs>
                <w:tab w:val="left" w:pos="1134"/>
              </w:tabs>
              <w:spacing w:after="0" w:line="240" w:lineRule="auto"/>
              <w:ind w:right="505"/>
              <w:jc w:val="both"/>
              <w:rPr>
                <w:rFonts w:ascii="Arial" w:eastAsia="Arial" w:hAnsi="Arial" w:cs="Arial"/>
                <w:b/>
                <w:bCs/>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Doświadczenie w zarządzaniu projektami: ponad 18-letnie doświadczenie w zarządzaniu projektami; ostatnio głównie w branży farmaceutycznej, w dużych firmach telekomunikacyjnych </w:t>
            </w:r>
            <w:r w:rsidRPr="00AE711A">
              <w:rPr>
                <w:rFonts w:ascii="Arial" w:eastAsia="Arial" w:hAnsi="Arial" w:cs="Arial"/>
                <w:color w:val="000000"/>
                <w:sz w:val="20"/>
                <w:szCs w:val="20"/>
              </w:rPr>
              <w:lastRenderedPageBreak/>
              <w:t xml:space="preserve">oraz jednostkach infrastrukturalnych (Sektor Publiczny), a także doświadczenie w zarządzaniu projektami integracyjnymi.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Wysoko zaawansowane umiejętności analityczne: Analityk Biznesowy w projektach komercyjnych, twórca zaawansowanych modeli naukowych dla instytucji komercyjnych i akademickich – tworzenie modeli uczenia maszynowego, wyszukiwanie informacji w dużych zbiorach danych, prognozowanie.</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Umiejętności programistyczne:</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C++, SQL – kiedyś poziom ekspercki, obecnie umiejętności trochę zaniedbane</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Java, .Net, Oracle PL/SQL, inne – poziom roboczy</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R, Python z PyTorch, pandy, numpy, matplotlib</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Języki obce: polski i angielski - biegle, hiszpański i rosyjski – w stopniu komunikatywnym, francuski - podstawowy</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593C7E" w:rsidRDefault="00846CB7" w:rsidP="00762B46">
            <w:pPr>
              <w:tabs>
                <w:tab w:val="left" w:pos="1134"/>
              </w:tabs>
              <w:spacing w:after="0" w:line="240" w:lineRule="auto"/>
              <w:ind w:right="505"/>
              <w:jc w:val="both"/>
              <w:rPr>
                <w:rFonts w:ascii="Arial" w:eastAsia="Arial" w:hAnsi="Arial" w:cs="Arial"/>
                <w:b/>
                <w:bCs/>
                <w:color w:val="000000"/>
                <w:sz w:val="20"/>
                <w:szCs w:val="20"/>
              </w:rPr>
            </w:pPr>
            <w:r w:rsidRPr="00593C7E">
              <w:rPr>
                <w:rFonts w:ascii="Arial" w:eastAsia="Arial" w:hAnsi="Arial" w:cs="Arial"/>
                <w:b/>
                <w:bCs/>
                <w:color w:val="000000"/>
                <w:sz w:val="20"/>
                <w:szCs w:val="20"/>
              </w:rPr>
              <w:t>DOŚWIADCZENIE</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październik 2022 – do chwili obecnej:  Instytut Matematyki Stosowanej i Mechaniki, Wydział Matematyki, Informatyki i Mechaniki Uniwersytetu Warszawskiego, Polska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Adiunkt w grupie pracowników badawczo-dydaktycznych</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2021 – do chwili obecnej:  Center4ML, Wydział Fizyki Uniwersytetu Warszawskiego,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Informatyk</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Rozwój DMRnet, GLAMER, Alphafold2, a także rozwój innych narzędzi uczenia maszynowego (ML) </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2021 – marzec 2022: AI Investments,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Kierownik Grupy Badawczej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Badania w zakresie metod sztucznej inteligencji (AI) i uczenia maszynowego (ML), zwłaszcza metod AI/ML przeznaczonych dla sektora finansowego (prognozowanie finansowych szeregów czasowych, automatyzacja tworzenia strategii inwestycyjnych za pomocą Reinforcement</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Learning (uczenie przez wzmacnianie), optymalizacja portfela)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Języki: Python z PyTorch, R</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2019 – marzec 2022: AI Investments,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Starszy specjalista ds. danych</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Badania w zakresie prognozowania finansowych szeregów czasowych i optymalizacji portfela przy wsparciu sztucznej inteligencji, uczenie przez wzmacnianie. Wdrażanie od podstaw i eksperymentowanie z najnowszymi metodami w zakresie sztucznej inteligencji i uczenia maszynowego: regresory i klasyfikatory tj. sieci neuronowe i metody statystyczne: Różniczkowalny Komputer Neuronowy (DNC), Transformator, LSTM, Generatywne Sieci Przeciwstawne (GAN) oraz metody statystyczne. Metody oceny statystycznego znaczenia wyników.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Języki: Python z PyTorch, R</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2018 – 2020</w:t>
            </w:r>
            <w:r w:rsidRPr="00AE711A">
              <w:rPr>
                <w:rFonts w:ascii="Arial" w:eastAsia="Arial" w:hAnsi="Arial" w:cs="Arial"/>
                <w:color w:val="000000"/>
                <w:sz w:val="20"/>
                <w:szCs w:val="20"/>
              </w:rPr>
              <w:tab/>
              <w:t>Machinarium,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Umowy w zakresie eksploracji dużych zbiorów danych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Analiza, tworzenie modeli oraz prognozowanie cen portowych, prowizji agentów, czasu oczekiwania, wykrywania oszustw – dla międzynarodowego operatora i brokera transportu morskiego</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846CB7" w:rsidRDefault="00846CB7" w:rsidP="00762B46">
            <w:pPr>
              <w:tabs>
                <w:tab w:val="left" w:pos="1134"/>
              </w:tabs>
              <w:spacing w:after="0" w:line="240" w:lineRule="auto"/>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2015 – 2019   </w:t>
            </w:r>
            <w:r w:rsidRPr="00846CB7">
              <w:rPr>
                <w:rFonts w:ascii="Arial" w:eastAsia="Arial" w:hAnsi="Arial" w:cs="Arial"/>
                <w:color w:val="000000"/>
                <w:sz w:val="20"/>
                <w:szCs w:val="20"/>
                <w:lang w:val="en-US"/>
              </w:rPr>
              <w:tab/>
              <w:t>Transition Technologies Managed Services,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Business Development Manager (Menadżer ds. </w:t>
            </w:r>
            <w:r w:rsidRPr="00AE711A">
              <w:rPr>
                <w:rFonts w:ascii="Arial" w:eastAsia="Arial" w:hAnsi="Arial" w:cs="Arial"/>
                <w:color w:val="000000"/>
                <w:sz w:val="20"/>
                <w:szCs w:val="20"/>
              </w:rPr>
              <w:t>Rozwoju)</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Utrzymywanie silnych relacji z klientami krajowymi (polskimi) i zagranicznymi.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Nadzorowanie procesów przetargowych i świadczonych usług. Analiza potrzeb klienta, tworzenie oferty dostosowanej do potrzeb klienta oraz oferty cenowej.</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projektami o charakterze strategicznym lub mającymi duży wpływ na biznes.</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Sektory: farmacja, edukacja, bankowość i finanse, badania.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Marzec-sierpień 2015</w:t>
            </w:r>
            <w:r w:rsidRPr="00AE711A">
              <w:rPr>
                <w:rFonts w:ascii="Arial" w:eastAsia="Arial" w:hAnsi="Arial" w:cs="Arial"/>
                <w:color w:val="000000"/>
                <w:sz w:val="20"/>
                <w:szCs w:val="20"/>
              </w:rPr>
              <w:tab/>
              <w:t>Atos,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Mendedżer Konfiguracji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lastRenderedPageBreak/>
              <w:t>Analiza, audyt i przetwarzanie dużych zbiorów danych związanych z procesami ITIL. Praca zdalna dla oddziału amerykańskiej firmy Atos.</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2011–2014</w:t>
            </w:r>
            <w:r w:rsidRPr="00AE711A">
              <w:rPr>
                <w:rFonts w:ascii="Arial" w:eastAsia="Arial" w:hAnsi="Arial" w:cs="Arial"/>
                <w:color w:val="000000"/>
                <w:sz w:val="20"/>
                <w:szCs w:val="20"/>
              </w:rPr>
              <w:tab/>
              <w:t>Ericpol,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Przedsprzedaż, Kierownik Projektu</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szeroką gamą średnich i dużych projektów (budżet: 100k – 1mln USD):</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infrastrukturalny projekt e-integracji w Sektorze Publicznym (budowa wież radiowych, budowa i utrzymanie infrastruktury sieci radiowej WiMax/WiFi dla samorządu)</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projekty migracji i wdrożeń oprogramowania ERP (system docelowy: Microsoft Dynamics AX)</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Wsparcie i zarządzanie zespołami technicznymi Pionu Zamówień Publicznych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Analiza Biznesowa (dokumentowanie wymagań, analiza procesów i przypadków wykorzystania tych procesów, warunki cenowe) w fazie początkowej projektu.</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Technologie i obszary: publiczna służba zdrowia, infrastruktura (sieć radiowa &amp; wieże radiowe), MS</w:t>
            </w:r>
            <w:r>
              <w:rPr>
                <w:rFonts w:ascii="Arial" w:eastAsia="Arial" w:hAnsi="Arial" w:cs="Arial"/>
                <w:color w:val="000000"/>
                <w:sz w:val="20"/>
                <w:szCs w:val="20"/>
              </w:rPr>
              <w:t xml:space="preserve"> </w:t>
            </w:r>
            <w:r w:rsidRPr="00AE711A">
              <w:rPr>
                <w:rFonts w:ascii="Arial" w:eastAsia="Arial" w:hAnsi="Arial" w:cs="Arial"/>
                <w:color w:val="000000"/>
                <w:sz w:val="20"/>
                <w:szCs w:val="20"/>
              </w:rPr>
              <w:t>Dynamics AX, ERP</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2007–2010</w:t>
            </w:r>
            <w:r w:rsidRPr="00AE711A">
              <w:rPr>
                <w:rFonts w:ascii="Arial" w:eastAsia="Arial" w:hAnsi="Arial" w:cs="Arial"/>
                <w:color w:val="000000"/>
                <w:sz w:val="20"/>
                <w:szCs w:val="20"/>
              </w:rPr>
              <w:tab/>
              <w:t>Billennium,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Kierownik Zespołu Analityków, Kierownik Projektu</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Zarządzanie zespołami analitycznymi i projektowymi (sektor telekomunikacyjny i informatyczny)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Znaczące projekty:</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projekt wynajmu linii hurtowej dla firmy telekomunikacyjnej</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system CRM dla integratora systemów z branży IT</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projekt migracji danych dla firmy logistycznej z Wielkiej Brytanii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prelegent na kilku konferencjach:</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E-dokument w procesach biznesowych, konferencja E-dokument 2008, pod patronatem UKE i PIIT</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Wdrożenie procesów biznesowych w WorkFlow w rozproszonym  środowisku informatycznym, konferencja ERG GigaCon 2008</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2010</w:t>
            </w:r>
            <w:r w:rsidRPr="00AE711A">
              <w:rPr>
                <w:rFonts w:ascii="Arial" w:eastAsia="Arial" w:hAnsi="Arial" w:cs="Arial"/>
                <w:color w:val="000000"/>
                <w:sz w:val="20"/>
                <w:szCs w:val="20"/>
              </w:rPr>
              <w:tab/>
              <w:t>Billennium @ Cyfrowy Polsat Poland</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Analityk Biznesowy</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Dokumentacja wymagań oraz analiza procesów i przypadków wykorzystania procesów w projektach wewnętrznych klienta.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2008–2009</w:t>
            </w:r>
            <w:r w:rsidRPr="00AE711A">
              <w:rPr>
                <w:rFonts w:ascii="Arial" w:eastAsia="Arial" w:hAnsi="Arial" w:cs="Arial"/>
                <w:color w:val="000000"/>
                <w:sz w:val="20"/>
                <w:szCs w:val="20"/>
              </w:rPr>
              <w:tab/>
              <w:t xml:space="preserve"> Billennium @ Telekomunikacja Polska Poland</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Kierownik Projektu</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DualPhone i Telefonią Internetową na SIP (TITP), dwoma projektami integracyjnymi mającymi na celu wprowadzenie nowych usług dla klientów VoIP i poprawa doświadczenia klienta VoIP.</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Obowiązki: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budżetem rocznym w wysokości 700k – 1mln USD na projekt,</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koordynowanie działań ~30 pracowników i kontrahentów TP SA,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zarządzanie zakresem, kosztami i harmonogramem projektów.</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Sukcesy:</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Sierpień 2009: migracja klientów VoIP na nową platformę</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Czerwiec 2009: wprowadzenie nowych usług dla klientów VoIP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Styczeń 2009: wdrożenie produkcyjne nowego systemu informatycznego umożliwiającego korzystanie z nowych usług w przyszłości przez klientów VoIP</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Sierpień 2008: integracja poczty głosowej z platformą VoIP</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2006–2007 </w:t>
            </w:r>
            <w:r w:rsidRPr="00AE711A">
              <w:rPr>
                <w:rFonts w:ascii="Arial" w:eastAsia="Arial" w:hAnsi="Arial" w:cs="Arial"/>
                <w:color w:val="000000"/>
                <w:sz w:val="20"/>
                <w:szCs w:val="20"/>
              </w:rPr>
              <w:tab/>
              <w:t>Infobright Inc.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Senior Developer C++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badania i rozwój silnika bazy danych o wysokiej kompresji BrightHouse</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prowadzenie projektu eksploracji danych ze składni zapytań SQL</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2001–2006</w:t>
            </w:r>
            <w:r w:rsidRPr="00AE711A">
              <w:rPr>
                <w:rFonts w:ascii="Arial" w:eastAsia="Arial" w:hAnsi="Arial" w:cs="Arial"/>
                <w:color w:val="000000"/>
                <w:sz w:val="20"/>
                <w:szCs w:val="20"/>
              </w:rPr>
              <w:tab/>
              <w:t>Uniwersytet Warszawski, Wydział Matematyki,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Informatyka i Mechanika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Stopień doktora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Prowadzenie badań w dziedzinie bioinformatyki: predykcja trójwymiarowej struktury białek ab initio i predykcja wiązania czynników transkrypcyjnych.</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846CB7" w:rsidRDefault="00846CB7" w:rsidP="00762B46">
            <w:pPr>
              <w:tabs>
                <w:tab w:val="left" w:pos="1134"/>
              </w:tabs>
              <w:spacing w:after="0" w:line="240" w:lineRule="auto"/>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2002–2004 </w:t>
            </w:r>
            <w:r w:rsidRPr="00846CB7">
              <w:rPr>
                <w:rFonts w:ascii="Arial" w:eastAsia="Arial" w:hAnsi="Arial" w:cs="Arial"/>
                <w:color w:val="000000"/>
                <w:sz w:val="20"/>
                <w:szCs w:val="20"/>
                <w:lang w:val="en-US"/>
              </w:rPr>
              <w:tab/>
              <w:t>University of California, Berkeley Livermore, USA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Lawrence Livermore National Laboratory CA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Naukowiec i inżynier/stypendysta techniczny</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Stworzenie modelu  predykcji trójwymiarowej struktury białek na podstawie statystycznie zmierzonej częstotliwości występowania aminokwasu w geometrycznie podobnych strukturach lokalnych.</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2000–2001</w:t>
            </w:r>
            <w:r w:rsidRPr="00AE711A">
              <w:rPr>
                <w:rFonts w:ascii="Arial" w:eastAsia="Arial" w:hAnsi="Arial" w:cs="Arial"/>
                <w:color w:val="000000"/>
                <w:sz w:val="20"/>
                <w:szCs w:val="20"/>
              </w:rPr>
              <w:tab/>
              <w:t>Internet Wizards,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Zastępca Dyrektora Departamentu Technologii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Kilka projektów vortalu muzycznego Nuta.pl, prowadzącego projekt swojego internetowego sklepu muzycznego</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1998–1999 </w:t>
            </w:r>
            <w:r w:rsidRPr="00AE711A">
              <w:rPr>
                <w:rFonts w:ascii="Arial" w:eastAsia="Arial" w:hAnsi="Arial" w:cs="Arial"/>
                <w:color w:val="000000"/>
                <w:sz w:val="20"/>
                <w:szCs w:val="20"/>
              </w:rPr>
              <w:tab/>
              <w:t>merlin.com.pl, Warszawa,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Programista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Prace programistyczne dla merlin.com.pl, najpopularniejszej polskiej księgarni internetowej </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tworzenie formularzy baz danych Oracle, raportów i zapytań SQL</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konwersja danych</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pisanie skryptów w Pearl</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Default="00846CB7" w:rsidP="00762B46">
            <w:pPr>
              <w:tabs>
                <w:tab w:val="left" w:pos="1134"/>
              </w:tabs>
              <w:spacing w:after="0" w:line="240" w:lineRule="auto"/>
              <w:ind w:right="505"/>
              <w:jc w:val="both"/>
              <w:rPr>
                <w:rFonts w:ascii="Arial" w:eastAsia="Arial" w:hAnsi="Arial" w:cs="Arial"/>
                <w:b/>
                <w:bCs/>
                <w:color w:val="000000"/>
                <w:sz w:val="20"/>
                <w:szCs w:val="20"/>
              </w:rPr>
            </w:pPr>
            <w:r w:rsidRPr="00593C7E">
              <w:rPr>
                <w:rFonts w:ascii="Arial" w:eastAsia="Arial" w:hAnsi="Arial" w:cs="Arial"/>
                <w:b/>
                <w:bCs/>
                <w:color w:val="000000"/>
                <w:sz w:val="20"/>
                <w:szCs w:val="20"/>
              </w:rPr>
              <w:t>WYKSZTAŁCENIE</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1996–2006</w:t>
            </w:r>
            <w:r w:rsidRPr="00AE711A">
              <w:rPr>
                <w:rFonts w:ascii="Arial" w:eastAsia="Arial" w:hAnsi="Arial" w:cs="Arial"/>
                <w:color w:val="000000"/>
                <w:sz w:val="20"/>
                <w:szCs w:val="20"/>
              </w:rPr>
              <w:tab/>
              <w:t>Uniwersytet Warszawski, Polska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b/>
            </w:r>
            <w:r w:rsidRPr="00AE711A">
              <w:rPr>
                <w:rFonts w:ascii="Arial" w:eastAsia="Arial" w:hAnsi="Arial" w:cs="Arial"/>
                <w:color w:val="000000"/>
                <w:sz w:val="20"/>
                <w:szCs w:val="20"/>
              </w:rPr>
              <w:tab/>
              <w:t>Wydział Matematyki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ab/>
            </w:r>
            <w:r w:rsidRPr="00AE711A">
              <w:rPr>
                <w:rFonts w:ascii="Arial" w:eastAsia="Arial" w:hAnsi="Arial" w:cs="Arial"/>
                <w:color w:val="000000"/>
                <w:sz w:val="20"/>
                <w:szCs w:val="20"/>
              </w:rPr>
              <w:tab/>
              <w:t>Informatyka i Mechanika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Listopad 2006 – doktorat z bioinformatyki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statystyczne i obliczeniowe  metody modelowania zwijania białek 3D</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1999 licencjat, 2001 magister w dziedzinie informatyki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1999 licencjat, 2001 magister w dziedzinie matematyki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593C7E" w:rsidRDefault="00846CB7" w:rsidP="00762B46">
            <w:pPr>
              <w:tabs>
                <w:tab w:val="left" w:pos="1134"/>
              </w:tabs>
              <w:spacing w:after="0" w:line="240" w:lineRule="auto"/>
              <w:ind w:right="505"/>
              <w:jc w:val="both"/>
              <w:rPr>
                <w:rFonts w:ascii="Arial" w:eastAsia="Arial" w:hAnsi="Arial" w:cs="Arial"/>
                <w:b/>
                <w:bCs/>
                <w:color w:val="000000"/>
                <w:sz w:val="20"/>
                <w:szCs w:val="20"/>
              </w:rPr>
            </w:pPr>
            <w:r w:rsidRPr="00593C7E">
              <w:rPr>
                <w:rFonts w:ascii="Arial" w:eastAsia="Arial" w:hAnsi="Arial" w:cs="Arial"/>
                <w:b/>
                <w:bCs/>
                <w:color w:val="000000"/>
                <w:sz w:val="20"/>
                <w:szCs w:val="20"/>
              </w:rPr>
              <w:t>KURSY I CERTYFIKATY</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Certyfikat IPMA, poziom C, numer 487/2011; ważny do 27.11.2024 r.</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Certyfikat ITIL Foundation w dziedzinie zarządzania usługami informatycznymi: numer GR750029633SN, data 29.06.2012 r., ważny bezterminowo</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PRINCE2 Foundation, numer kandydata: P2R/557472, data egzaminu: 20.11.2013 r., ważny bezterminowo</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F306B6" w:rsidRDefault="00846CB7" w:rsidP="00762B46">
            <w:pPr>
              <w:tabs>
                <w:tab w:val="left" w:pos="1134"/>
              </w:tabs>
              <w:spacing w:after="0" w:line="240" w:lineRule="auto"/>
              <w:ind w:right="505"/>
              <w:jc w:val="both"/>
              <w:rPr>
                <w:rFonts w:ascii="Arial" w:eastAsia="Arial" w:hAnsi="Arial" w:cs="Arial"/>
                <w:b/>
                <w:bCs/>
                <w:color w:val="000000"/>
                <w:sz w:val="20"/>
                <w:szCs w:val="20"/>
              </w:rPr>
            </w:pPr>
            <w:r w:rsidRPr="00F306B6">
              <w:rPr>
                <w:rFonts w:ascii="Arial" w:eastAsia="Arial" w:hAnsi="Arial" w:cs="Arial"/>
                <w:b/>
                <w:bCs/>
                <w:color w:val="000000"/>
                <w:sz w:val="20"/>
                <w:szCs w:val="20"/>
              </w:rPr>
              <w:t>INNE ZNACZĄCE PROJEKTY I OSIĄGNIĘCIA</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2016 – do chwili obecnej: Teselacje</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Prywatny projekt koncentrujący się na projektowaniu i rozwoju narzędzi języka R i Java do obliczania i ręcznego dostosowywania teselacji kształtów podobnych do podanych kształtów wyjściowych. Projekt stanowi kompleksowe wyzwanie naukowe, obliczeniowe i estetyczne. Kształty wielokątów powstałych w wyniku teselacji można później wykorzystać do produkcji szerokiej gamy produktów (np. ceramicznych lub drewnianych płytek podłogowych, kryształowych wazonów, stołów, a nawet sprzączek do pasków itp.). Kształty tworzą większe grupy, a ich cechy są atrakcyjne dla oka. Aktualnie projekt znajduje się w stadium zaawansowanym: pierwszy model witrażowego klosza do lampy zrobiony z 308 kawałków teselowanego szkła został wykonany w styczniu 2019 r. Trwają prace nad nowymi projektami.</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Strona internetowa: http://exignislamps.wordpress.com</w:t>
            </w: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p>
          <w:p w:rsidR="00846CB7" w:rsidRPr="00AE711A"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 xml:space="preserve">2007–2009 </w:t>
            </w:r>
            <w:r w:rsidRPr="00AE711A">
              <w:rPr>
                <w:rFonts w:ascii="Arial" w:eastAsia="Arial" w:hAnsi="Arial" w:cs="Arial"/>
                <w:color w:val="000000"/>
                <w:sz w:val="20"/>
                <w:szCs w:val="20"/>
              </w:rPr>
              <w:tab/>
              <w:t xml:space="preserve">Netflix Prize </w:t>
            </w:r>
          </w:p>
          <w:p w:rsidR="00846CB7" w:rsidRDefault="00846CB7" w:rsidP="00762B46">
            <w:pPr>
              <w:tabs>
                <w:tab w:val="left" w:pos="1134"/>
              </w:tabs>
              <w:spacing w:after="0" w:line="240" w:lineRule="auto"/>
              <w:ind w:right="505"/>
              <w:jc w:val="both"/>
              <w:rPr>
                <w:rFonts w:ascii="Arial" w:eastAsia="Arial" w:hAnsi="Arial" w:cs="Arial"/>
                <w:color w:val="000000"/>
                <w:sz w:val="20"/>
                <w:szCs w:val="20"/>
              </w:rPr>
            </w:pPr>
            <w:r w:rsidRPr="00AE711A">
              <w:rPr>
                <w:rFonts w:ascii="Arial" w:eastAsia="Arial" w:hAnsi="Arial" w:cs="Arial"/>
                <w:color w:val="000000"/>
                <w:sz w:val="20"/>
                <w:szCs w:val="20"/>
              </w:rPr>
              <w:t>Uczestnik konkursu Netflix Prize (nazwa zespołu: Machinarium). Metody eksploracji danych (Rozkład według wartości osobliwych, szacowanie ograniczonych modeli maszyn Boltzmanna), metody statystyczne. Zespół został sklasyfikowany na 69 miejscu w rankingu (na 5169 drużyn).</w:t>
            </w:r>
          </w:p>
        </w:tc>
      </w:tr>
      <w:tr w:rsidR="00846CB7" w:rsidTr="00762B46">
        <w:tc>
          <w:tcPr>
            <w:tcW w:w="9167" w:type="dxa"/>
          </w:tcPr>
          <w:p w:rsidR="00846CB7" w:rsidRPr="00F306B6" w:rsidRDefault="00846CB7" w:rsidP="00762B46">
            <w:pPr>
              <w:tabs>
                <w:tab w:val="left" w:pos="1134"/>
              </w:tabs>
              <w:spacing w:before="120"/>
              <w:ind w:right="503"/>
              <w:jc w:val="both"/>
              <w:rPr>
                <w:rFonts w:ascii="Arial" w:eastAsia="Arial" w:hAnsi="Arial" w:cs="Arial"/>
                <w:b/>
                <w:color w:val="000000"/>
                <w:sz w:val="20"/>
                <w:szCs w:val="20"/>
              </w:rPr>
            </w:pPr>
            <w:r w:rsidRPr="00F306B6">
              <w:rPr>
                <w:rFonts w:ascii="Arial" w:eastAsia="Arial" w:hAnsi="Arial" w:cs="Arial"/>
                <w:b/>
                <w:color w:val="000000"/>
                <w:sz w:val="20"/>
                <w:szCs w:val="20"/>
              </w:rPr>
              <w:lastRenderedPageBreak/>
              <w:t>LISTA PUBLIKACJI</w:t>
            </w:r>
          </w:p>
          <w:p w:rsidR="00846CB7" w:rsidRPr="00846CB7" w:rsidRDefault="00846CB7" w:rsidP="0006010B">
            <w:pPr>
              <w:pStyle w:val="Akapitzlist"/>
              <w:numPr>
                <w:ilvl w:val="0"/>
                <w:numId w:val="94"/>
              </w:numPr>
              <w:tabs>
                <w:tab w:val="left" w:pos="1134"/>
              </w:tabs>
              <w:spacing w:before="120"/>
              <w:ind w:right="503"/>
              <w:jc w:val="both"/>
              <w:rPr>
                <w:rFonts w:ascii="Arial" w:eastAsia="Arial" w:hAnsi="Arial" w:cs="Arial"/>
                <w:bCs/>
                <w:color w:val="000000"/>
                <w:sz w:val="20"/>
                <w:szCs w:val="20"/>
                <w:lang w:val="en-US"/>
              </w:rPr>
            </w:pPr>
            <w:r w:rsidRPr="00F306B6">
              <w:rPr>
                <w:rFonts w:ascii="Arial" w:eastAsia="Arial" w:hAnsi="Arial" w:cs="Arial"/>
                <w:bCs/>
                <w:color w:val="000000"/>
                <w:sz w:val="20"/>
                <w:szCs w:val="20"/>
              </w:rPr>
              <w:t xml:space="preserve">Nowakowski, Szymon, Piotr Pokarowski and Wojciech Rejchel. </w:t>
            </w:r>
            <w:r w:rsidRPr="00846CB7">
              <w:rPr>
                <w:rFonts w:ascii="Arial" w:eastAsia="Arial" w:hAnsi="Arial" w:cs="Arial"/>
                <w:bCs/>
                <w:color w:val="000000"/>
                <w:sz w:val="20"/>
                <w:szCs w:val="20"/>
                <w:lang w:val="en-US"/>
              </w:rPr>
              <w:t>“Group Lasso Merger for Sparse Prediction with High-Dimensional Categorical Data.” 2021. arXiv:2112.11114</w:t>
            </w:r>
          </w:p>
          <w:p w:rsidR="00846CB7" w:rsidRPr="00F306B6" w:rsidRDefault="00846CB7" w:rsidP="0006010B">
            <w:pPr>
              <w:pStyle w:val="Akapitzlist"/>
              <w:numPr>
                <w:ilvl w:val="0"/>
                <w:numId w:val="94"/>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lastRenderedPageBreak/>
              <w:t>Nowakowska, Dominika, Szymon Nowakowski, Katarzyna Bieńkowska, and Andrzej Kokoszka. 2021. “Stosunek osób ze schizofrenią do renty. Kwestionariusz opinii na temat renty i jego zastosowanie. Doniesienie wstępne.” Psychiatria 18(2): 103-110</w:t>
            </w:r>
          </w:p>
          <w:p w:rsidR="00846CB7" w:rsidRPr="00F306B6" w:rsidRDefault="00846CB7" w:rsidP="0006010B">
            <w:pPr>
              <w:pStyle w:val="Akapitzlist"/>
              <w:numPr>
                <w:ilvl w:val="0"/>
                <w:numId w:val="94"/>
              </w:numPr>
              <w:tabs>
                <w:tab w:val="left" w:pos="1134"/>
              </w:tabs>
              <w:spacing w:before="120"/>
              <w:ind w:right="503"/>
              <w:jc w:val="both"/>
              <w:rPr>
                <w:rFonts w:ascii="Arial" w:eastAsia="Arial" w:hAnsi="Arial" w:cs="Arial"/>
                <w:bCs/>
                <w:color w:val="000000"/>
                <w:sz w:val="20"/>
                <w:szCs w:val="20"/>
              </w:rPr>
            </w:pPr>
            <w:r w:rsidRPr="00846CB7">
              <w:rPr>
                <w:rFonts w:ascii="Arial" w:eastAsia="Arial" w:hAnsi="Arial" w:cs="Arial"/>
                <w:bCs/>
                <w:color w:val="000000"/>
                <w:sz w:val="20"/>
                <w:szCs w:val="20"/>
                <w:lang w:val="en-US"/>
              </w:rPr>
              <w:t xml:space="preserve">Nowakowski, Szymon. 2021. “Uniqueness of a Median of a Binomial Distribution with Rational Probability.” </w:t>
            </w:r>
            <w:r w:rsidRPr="00F306B6">
              <w:rPr>
                <w:rFonts w:ascii="Arial" w:eastAsia="Arial" w:hAnsi="Arial" w:cs="Arial"/>
                <w:bCs/>
                <w:color w:val="000000"/>
                <w:sz w:val="20"/>
                <w:szCs w:val="20"/>
              </w:rPr>
              <w:t>Adv. Math. Sci. J. 10(4) 1951-1958, doi: 10.37418/amsj.10.4.9</w:t>
            </w:r>
          </w:p>
          <w:p w:rsidR="00846CB7" w:rsidRPr="00F306B6" w:rsidRDefault="00846CB7" w:rsidP="0006010B">
            <w:pPr>
              <w:pStyle w:val="Akapitzlist"/>
              <w:numPr>
                <w:ilvl w:val="0"/>
                <w:numId w:val="94"/>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t xml:space="preserve">Drabikowski, Michał, Szymon Nowakowski, and Jerzy Tiuryn. </w:t>
            </w:r>
            <w:r w:rsidRPr="00846CB7">
              <w:rPr>
                <w:rFonts w:ascii="Arial" w:eastAsia="Arial" w:hAnsi="Arial" w:cs="Arial"/>
                <w:bCs/>
                <w:color w:val="000000"/>
                <w:sz w:val="20"/>
                <w:szCs w:val="20"/>
                <w:lang w:val="en-US"/>
              </w:rPr>
              <w:t xml:space="preserve">2007. “Library of Local Descriptors Models the Core of Proteins Accurately.” </w:t>
            </w:r>
            <w:r w:rsidRPr="00F306B6">
              <w:rPr>
                <w:rFonts w:ascii="Arial" w:eastAsia="Arial" w:hAnsi="Arial" w:cs="Arial"/>
                <w:bCs/>
                <w:color w:val="000000"/>
                <w:sz w:val="20"/>
                <w:szCs w:val="20"/>
              </w:rPr>
              <w:t>Proteins 69 (3): 499–510.</w:t>
            </w:r>
          </w:p>
          <w:p w:rsidR="00846CB7" w:rsidRPr="00846CB7" w:rsidRDefault="00846CB7" w:rsidP="0006010B">
            <w:pPr>
              <w:pStyle w:val="Akapitzlist"/>
              <w:numPr>
                <w:ilvl w:val="0"/>
                <w:numId w:val="94"/>
              </w:numPr>
              <w:tabs>
                <w:tab w:val="left" w:pos="1134"/>
              </w:tabs>
              <w:spacing w:before="120"/>
              <w:ind w:right="503"/>
              <w:jc w:val="both"/>
              <w:rPr>
                <w:rFonts w:ascii="Arial" w:eastAsia="Arial" w:hAnsi="Arial" w:cs="Arial"/>
                <w:bCs/>
                <w:color w:val="000000"/>
                <w:sz w:val="20"/>
                <w:szCs w:val="20"/>
                <w:lang w:val="en-US"/>
              </w:rPr>
            </w:pPr>
            <w:r w:rsidRPr="00F306B6">
              <w:rPr>
                <w:rFonts w:ascii="Arial" w:eastAsia="Arial" w:hAnsi="Arial" w:cs="Arial"/>
                <w:bCs/>
                <w:color w:val="000000"/>
                <w:sz w:val="20"/>
                <w:szCs w:val="20"/>
              </w:rPr>
              <w:t xml:space="preserve">Pokarowski, Piotr, Andrzej Kloczkowski, Szymon Nowakowski, Maria Pokarowska, Robert L. Jernigan, and Andrzej Kolinski. </w:t>
            </w:r>
            <w:r w:rsidRPr="00846CB7">
              <w:rPr>
                <w:rFonts w:ascii="Arial" w:eastAsia="Arial" w:hAnsi="Arial" w:cs="Arial"/>
                <w:bCs/>
                <w:color w:val="000000"/>
                <w:sz w:val="20"/>
                <w:szCs w:val="20"/>
                <w:lang w:val="en-US"/>
              </w:rPr>
              <w:t>2007. “Ideal Amino Acid Exchange Forms for Approximatingn Substitution Matrices.” Proteins 69 (2): 379–93.</w:t>
            </w:r>
          </w:p>
          <w:p w:rsidR="00846CB7" w:rsidRPr="00F306B6" w:rsidRDefault="00846CB7" w:rsidP="0006010B">
            <w:pPr>
              <w:pStyle w:val="Akapitzlist"/>
              <w:numPr>
                <w:ilvl w:val="0"/>
                <w:numId w:val="94"/>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t xml:space="preserve">Nowakowski, Szymon, and Jerzy Tiuryn. </w:t>
            </w:r>
            <w:r w:rsidRPr="00846CB7">
              <w:rPr>
                <w:rFonts w:ascii="Arial" w:eastAsia="Arial" w:hAnsi="Arial" w:cs="Arial"/>
                <w:bCs/>
                <w:color w:val="000000"/>
                <w:sz w:val="20"/>
                <w:szCs w:val="20"/>
                <w:lang w:val="en-US"/>
              </w:rPr>
              <w:t xml:space="preserve">2007. “A New Approach to the Assessment of the Quality of Predictions of Transcription Factor Binding Sites.” </w:t>
            </w:r>
            <w:r w:rsidRPr="00F306B6">
              <w:rPr>
                <w:rFonts w:ascii="Arial" w:eastAsia="Arial" w:hAnsi="Arial" w:cs="Arial"/>
                <w:bCs/>
                <w:color w:val="000000"/>
                <w:sz w:val="20"/>
                <w:szCs w:val="20"/>
              </w:rPr>
              <w:t>Journal of Biomedical Informatics 40 (2): 139–49.</w:t>
            </w:r>
          </w:p>
          <w:p w:rsidR="00846CB7" w:rsidRPr="00F306B6" w:rsidRDefault="00846CB7" w:rsidP="0006010B">
            <w:pPr>
              <w:pStyle w:val="Akapitzlist"/>
              <w:numPr>
                <w:ilvl w:val="0"/>
                <w:numId w:val="94"/>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t xml:space="preserve">Nowakowski, Szymon, and Michał Drabikowski. </w:t>
            </w:r>
            <w:r w:rsidRPr="00846CB7">
              <w:rPr>
                <w:rFonts w:ascii="Arial" w:eastAsia="Arial" w:hAnsi="Arial" w:cs="Arial"/>
                <w:bCs/>
                <w:color w:val="000000"/>
                <w:sz w:val="20"/>
                <w:szCs w:val="20"/>
                <w:lang w:val="en-US"/>
              </w:rPr>
              <w:t xml:space="preserve">2007. “Efficient Local Protein Structure Prediction.” </w:t>
            </w:r>
            <w:r w:rsidRPr="00F306B6">
              <w:rPr>
                <w:rFonts w:ascii="Arial" w:eastAsia="Arial" w:hAnsi="Arial" w:cs="Arial"/>
                <w:bCs/>
                <w:color w:val="000000"/>
                <w:sz w:val="20"/>
                <w:szCs w:val="20"/>
              </w:rPr>
              <w:t>In Rough Sets and Knowledge Technology, 308–15. Springer Berlin Heidelberg.</w:t>
            </w:r>
          </w:p>
          <w:p w:rsidR="00846CB7" w:rsidRPr="00846CB7" w:rsidRDefault="00846CB7" w:rsidP="0006010B">
            <w:pPr>
              <w:pStyle w:val="Akapitzlist"/>
              <w:numPr>
                <w:ilvl w:val="0"/>
                <w:numId w:val="94"/>
              </w:numPr>
              <w:tabs>
                <w:tab w:val="left" w:pos="1134"/>
              </w:tabs>
              <w:spacing w:before="120"/>
              <w:ind w:right="503"/>
              <w:jc w:val="both"/>
              <w:rPr>
                <w:rFonts w:ascii="Arial" w:eastAsia="Arial" w:hAnsi="Arial" w:cs="Arial"/>
                <w:bCs/>
                <w:color w:val="000000"/>
                <w:sz w:val="20"/>
                <w:szCs w:val="20"/>
                <w:lang w:val="en-US"/>
              </w:rPr>
            </w:pPr>
            <w:r w:rsidRPr="00F306B6">
              <w:rPr>
                <w:rFonts w:ascii="Arial" w:eastAsia="Arial" w:hAnsi="Arial" w:cs="Arial"/>
                <w:bCs/>
                <w:color w:val="000000"/>
                <w:sz w:val="20"/>
                <w:szCs w:val="20"/>
              </w:rPr>
              <w:t xml:space="preserve">Nowakowski, Szymon, Krzysztof Fidelis, and Jerzy Tiuryn. </w:t>
            </w:r>
            <w:r w:rsidRPr="00846CB7">
              <w:rPr>
                <w:rFonts w:ascii="Arial" w:eastAsia="Arial" w:hAnsi="Arial" w:cs="Arial"/>
                <w:bCs/>
                <w:color w:val="000000"/>
                <w:sz w:val="20"/>
                <w:szCs w:val="20"/>
                <w:lang w:val="en-US"/>
              </w:rPr>
              <w:t>2005. “Introducing Dependencies into Alignment Analysis and Its Use for Local Structure Prediction in Proteins.” In Parallel Processing and Applied Mathematics, 6th International Conference, PPAM 2005, Poznan, Poland, September 11-14, 2005, Revised Selected Papers, 1106–13.</w:t>
            </w:r>
          </w:p>
          <w:p w:rsidR="00846CB7" w:rsidRPr="00F306B6" w:rsidRDefault="00846CB7" w:rsidP="0006010B">
            <w:pPr>
              <w:pStyle w:val="Akapitzlist"/>
              <w:numPr>
                <w:ilvl w:val="0"/>
                <w:numId w:val="94"/>
              </w:numPr>
              <w:tabs>
                <w:tab w:val="left" w:pos="1134"/>
              </w:tabs>
              <w:spacing w:before="120"/>
              <w:ind w:right="503"/>
              <w:jc w:val="both"/>
              <w:rPr>
                <w:rFonts w:ascii="Arial" w:eastAsia="Arial" w:hAnsi="Arial" w:cs="Arial"/>
                <w:bCs/>
                <w:color w:val="000000"/>
                <w:sz w:val="20"/>
                <w:szCs w:val="20"/>
              </w:rPr>
            </w:pPr>
            <w:r w:rsidRPr="00F306B6">
              <w:rPr>
                <w:rFonts w:ascii="Arial" w:eastAsia="Arial" w:hAnsi="Arial" w:cs="Arial"/>
                <w:bCs/>
                <w:color w:val="000000"/>
                <w:sz w:val="20"/>
                <w:szCs w:val="20"/>
              </w:rPr>
              <w:t>Nowakowski, Szymon. 2006. “Estymatory rozkładów prawdopodobieństwa występowania sekwencji aminokwasowej w uliniowieniu i ich zastosowanie do predykcji struktury trójwymiarowej białek” – praca doktorska, której promotorem był prof. Jerzy Tiuryn, Uniwersytet Warszawski.</w:t>
            </w: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Pr="00494C50" w:rsidRDefault="00846CB7" w:rsidP="00762B46">
            <w:pPr>
              <w:tabs>
                <w:tab w:val="left" w:pos="1134"/>
              </w:tabs>
              <w:spacing w:before="120"/>
              <w:ind w:right="503"/>
              <w:jc w:val="both"/>
              <w:rPr>
                <w:rFonts w:ascii="Arial" w:eastAsia="Arial" w:hAnsi="Arial" w:cs="Arial"/>
                <w:b/>
                <w:bCs/>
                <w:color w:val="000000"/>
                <w:sz w:val="20"/>
                <w:szCs w:val="20"/>
              </w:rPr>
            </w:pPr>
            <w:r w:rsidRPr="00494C50">
              <w:rPr>
                <w:rFonts w:ascii="Arial" w:eastAsia="Arial" w:hAnsi="Arial" w:cs="Arial"/>
                <w:b/>
                <w:bCs/>
                <w:color w:val="000000"/>
                <w:sz w:val="20"/>
                <w:szCs w:val="20"/>
              </w:rPr>
              <w:t>dr Kamil Mroczka</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D</w:t>
            </w:r>
            <w:r w:rsidRPr="00590F67">
              <w:rPr>
                <w:rFonts w:ascii="Arial" w:eastAsia="Arial" w:hAnsi="Arial" w:cs="Arial"/>
                <w:color w:val="000000"/>
                <w:sz w:val="20"/>
                <w:szCs w:val="20"/>
              </w:rPr>
              <w:t>oktor nauk społecznych w zakresie nauk o polityce (2014 – obrona z wyróżnieniem), absolwent programu Executive Master of Business Administration prowadzonego przez Międzynarodowe Centrum Zarządzania UW (2017 – program ukończony z wyróżnieniem). Absolwent studiów podyplomowych w zakresie administracji rządowej i samorządowej oraz kontroli instytucji publicznych w Instytucie Nauk Politycznych UW (2010).</w:t>
            </w:r>
          </w:p>
          <w:p w:rsidR="00846CB7" w:rsidRPr="00590F67" w:rsidRDefault="00846CB7" w:rsidP="00762B46">
            <w:p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Pracownik naukowo-dydaktyczny Wydziału Nauk Politycznych i Studiów Międzynarodowych UW. W latach 2015-2017 pracownik naukowy Państwowej Wyższej Szkoły Zawodowej im. rtm. Witolda Pileckiego w Oświęcimiu, w tym w latach 2016-2017 kierownik zakładu Zarządzania Strategicznego i Finansów w Instytucie Zarządzania i Inżynierii Produkcji. W latach 2017-2019 adiunkt w Centrum Studiów Samorządu Terytorialnego i Rozwoju Lokalnego. Uczestnik krajowych i międzynarodowych projektów badawczych i doradczych. Członek zespołu eksperckiego skupionego wokół University of Ljubljana w ramach projektu „Support to Ukraine’s 2016-2020 Public Administration Reform Strategy”. Członek sekcji „Administracji i polityk publicznych” Polskiego Towarzystwa Nauk Politycznych (PTNP). Członek rady programowo-naukowej czasopisma Bezpieczny Bank.</w:t>
            </w:r>
          </w:p>
          <w:p w:rsidR="00846CB7" w:rsidRPr="00590F67" w:rsidRDefault="00846CB7" w:rsidP="00762B46">
            <w:p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Wieloletni praktyk administracji i zarządzania w administracji publicznej. Pracował m.in. jako dyrektor Biura Dyrektora Generalnego w Ministerstwie Sprawiedliwości, dyrektor Departamentu Zarządzania Strategicznego w Ministerstwie Finansów oraz dyrektor Centrum Oceny Administracji w Kancelarii Prezesa Rady Ministrów. Obecnie zatrudniony jako dyrektor generalny w Urzędzie Komisji Nadzoru Finansowego. Posiada doświadczenie w zakresie funkcjonowania organów spółek prawa handlowego. W latach 2017-2019 członek Rady Nadzorczej Banku Gospodarstwa Krajowego, a od 2019 r. przewodniczący Rady Nadzorczej Agencji Rozwoju Przemysłu. Przewodniczący Komisji rozpatrującej wnioski o wyrażenie zgody na zatrudnianie osób, które pełniły funkcje publiczne działającej przy Prezesie Rady Ministrów.</w:t>
            </w:r>
          </w:p>
          <w:p w:rsidR="00846CB7" w:rsidRDefault="00846CB7" w:rsidP="00762B46">
            <w:p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lastRenderedPageBreak/>
              <w:t>Ekspert z ramienia PWC w ramach projektów współfinansowanych ze środków europejskich. Autor licznych ekspertyz i analiz na zlecenie administracji rządowej. Ekspert w zakresie zarządzania programami i projektami. Certyfikowany project manager metodyki PRINCE2.</w:t>
            </w:r>
          </w:p>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Obecn</w:t>
            </w:r>
            <w:r>
              <w:t>ie:</w:t>
            </w:r>
            <w:r w:rsidRPr="00590F67">
              <w:rPr>
                <w:rFonts w:ascii="Arial" w:eastAsia="Arial" w:hAnsi="Arial" w:cs="Arial"/>
                <w:color w:val="000000"/>
                <w:sz w:val="20"/>
                <w:szCs w:val="20"/>
              </w:rPr>
              <w:t xml:space="preserve"> </w:t>
            </w:r>
          </w:p>
          <w:p w:rsidR="00846CB7" w:rsidRPr="00590F67" w:rsidRDefault="00846CB7" w:rsidP="00762B46">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nadzoruje Departament Cyberbezpieczeństwa w UKNF - odpowiada za cyberbezpieczeństwo rynku finansowego w PL</w:t>
            </w:r>
          </w:p>
          <w:p w:rsidR="00846CB7" w:rsidRPr="00590F67" w:rsidRDefault="00846CB7" w:rsidP="00762B46">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 xml:space="preserve">jest członkiem naukowo-eksperckiej rady ds cyber przy WSPol </w:t>
            </w:r>
          </w:p>
          <w:p w:rsidR="00846CB7" w:rsidRPr="00590F67" w:rsidRDefault="00846CB7" w:rsidP="00762B46">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 xml:space="preserve">koordynuje Centrum Edukacji dla Bezpieczeństwa Rynku Finansowego przy UKNF https://cebrf.knf.gov.pl </w:t>
            </w:r>
          </w:p>
          <w:p w:rsidR="00846CB7" w:rsidRPr="00590F67" w:rsidRDefault="00846CB7" w:rsidP="00762B46">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jest koordynatorem Encyklopedii Cyberbezpieczeństwa - projekt w ramach CEBRF</w:t>
            </w:r>
          </w:p>
          <w:p w:rsidR="00846CB7" w:rsidRPr="00590F67" w:rsidRDefault="00846CB7" w:rsidP="00762B46">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publikuje i wygłasza referaty na temat cyberbezpieczeństwa</w:t>
            </w:r>
          </w:p>
          <w:p w:rsidR="00846CB7" w:rsidRDefault="00846CB7" w:rsidP="00762B46">
            <w:pPr>
              <w:pStyle w:val="Akapitzlist"/>
              <w:numPr>
                <w:ilvl w:val="0"/>
                <w:numId w:val="90"/>
              </w:num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 xml:space="preserve">w planach - otwarcie przewodu doktorskiego na </w:t>
            </w:r>
            <w:r w:rsidRPr="009305E9">
              <w:rPr>
                <w:rFonts w:ascii="Arial" w:eastAsia="Arial" w:hAnsi="Arial" w:cs="Arial"/>
                <w:color w:val="000000"/>
                <w:sz w:val="20"/>
                <w:szCs w:val="20"/>
              </w:rPr>
              <w:t>Wydzia</w:t>
            </w:r>
            <w:r>
              <w:rPr>
                <w:rFonts w:ascii="Arial" w:eastAsia="Arial" w:hAnsi="Arial" w:cs="Arial"/>
                <w:color w:val="000000"/>
                <w:sz w:val="20"/>
                <w:szCs w:val="20"/>
              </w:rPr>
              <w:t>le</w:t>
            </w:r>
            <w:r w:rsidRPr="009305E9">
              <w:rPr>
                <w:rFonts w:ascii="Arial" w:eastAsia="Arial" w:hAnsi="Arial" w:cs="Arial"/>
                <w:color w:val="000000"/>
                <w:sz w:val="20"/>
                <w:szCs w:val="20"/>
              </w:rPr>
              <w:t xml:space="preserve"> Prawa i Administracji UW</w:t>
            </w:r>
            <w:r w:rsidRPr="00590F67">
              <w:rPr>
                <w:rFonts w:ascii="Arial" w:eastAsia="Arial" w:hAnsi="Arial" w:cs="Arial"/>
                <w:color w:val="000000"/>
                <w:sz w:val="20"/>
                <w:szCs w:val="20"/>
              </w:rPr>
              <w:t xml:space="preserve"> - dysertacja będzie dotyczyć uwarunkowań prawnych cyberbezpieczeństwa</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lastRenderedPageBreak/>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sidRPr="00590F67">
              <w:rPr>
                <w:rFonts w:ascii="Arial" w:eastAsia="Arial" w:hAnsi="Arial" w:cs="Arial"/>
                <w:color w:val="000000"/>
                <w:sz w:val="20"/>
                <w:szCs w:val="20"/>
              </w:rPr>
              <w:t>Zarządzanie publiczne, zarządzanie strategiczne, zarządzanie programami i projektami, zarządzanie zasobami ludzkimi, administracja publiczna w Polsce i Europie, służba cywilna i pragmatyki urzędnicze, bezpieczeństwo wewnętrzne, zarządzanie kryzysowe oraz kontrola i audyt.</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Ostatnie publikacje:</w:t>
            </w:r>
          </w:p>
          <w:p w:rsidR="00846CB7" w:rsidRPr="00590F67" w:rsidRDefault="00846CB7" w:rsidP="00762B46">
            <w:pPr>
              <w:pStyle w:val="Akapitzlist"/>
              <w:numPr>
                <w:ilvl w:val="0"/>
                <w:numId w:val="89"/>
              </w:numPr>
              <w:tabs>
                <w:tab w:val="left" w:pos="1134"/>
              </w:tabs>
              <w:spacing w:before="120"/>
              <w:ind w:right="503"/>
              <w:jc w:val="both"/>
              <w:rPr>
                <w:rFonts w:ascii="Arial" w:eastAsia="Arial" w:hAnsi="Arial" w:cs="Arial"/>
                <w:bCs/>
                <w:color w:val="000000"/>
                <w:sz w:val="20"/>
                <w:szCs w:val="20"/>
              </w:rPr>
            </w:pPr>
            <w:r w:rsidRPr="00590F67">
              <w:rPr>
                <w:rFonts w:ascii="Arial" w:eastAsia="Arial" w:hAnsi="Arial" w:cs="Arial"/>
                <w:bCs/>
                <w:color w:val="000000"/>
                <w:sz w:val="20"/>
                <w:szCs w:val="20"/>
              </w:rPr>
              <w:t>K. Mroczka, Zarządzenie zastępcze wojewody jako środek nadzoru nad samorządem terytorialnym umożliwiający wygaszanie mandatu w związku ze złamaniem ustawy antykorupcyjnej, „Przegląd Ustawodawstwa gospodarczego” 2021, nr 1, s. 40-48.</w:t>
            </w:r>
          </w:p>
          <w:p w:rsidR="00846CB7" w:rsidRPr="00590F67" w:rsidRDefault="00846CB7" w:rsidP="00762B46">
            <w:pPr>
              <w:pStyle w:val="Akapitzlist"/>
              <w:numPr>
                <w:ilvl w:val="0"/>
                <w:numId w:val="89"/>
              </w:numPr>
              <w:tabs>
                <w:tab w:val="left" w:pos="1134"/>
              </w:tabs>
              <w:spacing w:before="120"/>
              <w:ind w:right="503"/>
              <w:jc w:val="both"/>
              <w:rPr>
                <w:rFonts w:ascii="Arial" w:eastAsia="Arial" w:hAnsi="Arial" w:cs="Arial"/>
                <w:bCs/>
                <w:color w:val="000000"/>
                <w:sz w:val="20"/>
                <w:szCs w:val="20"/>
              </w:rPr>
            </w:pPr>
            <w:r w:rsidRPr="00590F67">
              <w:rPr>
                <w:rFonts w:ascii="Arial" w:eastAsia="Arial" w:hAnsi="Arial" w:cs="Arial"/>
                <w:bCs/>
                <w:color w:val="000000"/>
                <w:sz w:val="20"/>
                <w:szCs w:val="20"/>
              </w:rPr>
              <w:t>K. Mroczka, Ewolucja pozycji wojewody w systemie władzy politycznej w Polsce do 2009 roku, Warszawa 2020.</w:t>
            </w:r>
          </w:p>
          <w:p w:rsidR="00846CB7" w:rsidRPr="00590F67" w:rsidRDefault="00846CB7" w:rsidP="00762B46">
            <w:pPr>
              <w:pStyle w:val="Akapitzlist"/>
              <w:numPr>
                <w:ilvl w:val="0"/>
                <w:numId w:val="89"/>
              </w:numPr>
              <w:tabs>
                <w:tab w:val="left" w:pos="1134"/>
              </w:tabs>
              <w:spacing w:before="120"/>
              <w:ind w:right="503"/>
              <w:jc w:val="both"/>
              <w:rPr>
                <w:rFonts w:ascii="Arial" w:eastAsia="Arial" w:hAnsi="Arial" w:cs="Arial"/>
                <w:b/>
                <w:color w:val="000000"/>
                <w:sz w:val="20"/>
                <w:szCs w:val="20"/>
              </w:rPr>
            </w:pPr>
            <w:r w:rsidRPr="00590F67">
              <w:rPr>
                <w:rFonts w:ascii="Arial" w:eastAsia="Arial" w:hAnsi="Arial" w:cs="Arial"/>
                <w:bCs/>
                <w:color w:val="000000"/>
                <w:sz w:val="20"/>
                <w:szCs w:val="20"/>
              </w:rPr>
              <w:t>K. Mroczka, Komisja rozpatrująca wnioski o wyrażenie zgody na zatrudnienie osób, które pełniły funkcje publiczne – analiza instytucjonalno-prawna, „Przegląd Legislacyjny” 2020, nr 4(114), s. 31-64.</w:t>
            </w: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bookmarkStart w:id="2" w:name="_Hlk112662716"/>
            <w:r>
              <w:rPr>
                <w:rFonts w:ascii="Arial" w:eastAsia="Arial" w:hAnsi="Arial" w:cs="Arial"/>
                <w:b/>
                <w:color w:val="000000"/>
                <w:sz w:val="20"/>
                <w:szCs w:val="20"/>
              </w:rPr>
              <w:t>dr inż. Dariusz Jaruga</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Doktor nauk społecznych w dyscyplinie nauki o komunikacji społecznej i mediach (2019); Absolwent Wydziału Mechatroniki Politechniki Warszawskiej. Od 2022 Pracownik naukowo-dydaktyczny Wydziału Nauk Politycznych i Studiów Międzynarodowych Uniwersytetu Warszawskiego. Pracownik naukowo-dydaktyczny Wydziału Dziennikarstwa, Informacji i Bibliologii Uniwersytetu Warszawskiego (2015-2021);  Współpracownik dydaktyczny na Wydziale Dziennikarstwa i Nauk Politycznych (2002 – 2015). Pełnomocnik Dziekana Wydziału Dziennikarstwa, Informacji i Bibliologii ds. ochrony danych osobowych (w latach 2016 – 2021). Jest współtwórcą studiów Zarządzanie Big Data na UW. Brał udział w dwóch projektach NCBIR z zakresu B+R+I i trendów technologicznych. Aktualnie członek zespołu w projekcie: „Identyfikacja, kolekcjonowanie i ocena nieprzyjaznych operacji dezinformacyjnych w cyberprzestrzeni, prowadzonych w oparciu o narzędzia teleinformatyczne (IKONA)”. Doświadczenie zawodowe zdobywał także w Polskiej Agencji Prasowej i Szkole Głównej Handlowej w Warszawie.</w:t>
            </w: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lastRenderedPageBreak/>
              <w:t>Rafinacja informacji, tworzenie aplikacji badawczych do kolekcjonowania danych na potrzeby rafinacji, przetwarzanie danych big data jako wartościowego źródła informacji wtórnej, systemy operacyjne, usługi sieciowe, relacyjne i nierelacyjne bazy danych, nowe media, programowanie, bezpieczeństwo IT.</w:t>
            </w: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Tr="00762B46">
        <w:tc>
          <w:tcPr>
            <w:tcW w:w="9167" w:type="dxa"/>
          </w:tcPr>
          <w:p w:rsidR="00846CB7" w:rsidRDefault="00846CB7" w:rsidP="00762B46">
            <w:pPr>
              <w:numPr>
                <w:ilvl w:val="0"/>
                <w:numId w:val="21"/>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publikacje naukowe </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Pr="00846CB7" w:rsidRDefault="00846CB7" w:rsidP="00762B46">
            <w:pPr>
              <w:numPr>
                <w:ilvl w:val="0"/>
                <w:numId w:val="28"/>
              </w:numPr>
              <w:tabs>
                <w:tab w:val="left" w:pos="1134"/>
              </w:tabs>
              <w:spacing w:after="0" w:line="324" w:lineRule="auto"/>
              <w:ind w:right="503"/>
              <w:jc w:val="both"/>
              <w:rPr>
                <w:rFonts w:ascii="Arial" w:eastAsia="Arial" w:hAnsi="Arial" w:cs="Arial"/>
                <w:sz w:val="20"/>
                <w:szCs w:val="20"/>
                <w:lang w:val="en-US"/>
              </w:rPr>
            </w:pPr>
            <w:r w:rsidRPr="00846CB7">
              <w:rPr>
                <w:rFonts w:ascii="Arial" w:eastAsia="Arial" w:hAnsi="Arial" w:cs="Arial"/>
                <w:sz w:val="20"/>
                <w:szCs w:val="20"/>
                <w:lang w:val="en-US"/>
              </w:rPr>
              <w:t xml:space="preserve">Cetera W., Gogołek W., Żołnierski A., Jaruga D., </w:t>
            </w:r>
            <w:r w:rsidRPr="00846CB7">
              <w:rPr>
                <w:rFonts w:ascii="Arial" w:eastAsia="Arial" w:hAnsi="Arial" w:cs="Arial"/>
                <w:i/>
                <w:sz w:val="20"/>
                <w:szCs w:val="20"/>
                <w:lang w:val="en-US"/>
              </w:rPr>
              <w:t>Potential for the use of large unstructured data resources by public innovation support institutions</w:t>
            </w:r>
            <w:r w:rsidRPr="00846CB7">
              <w:rPr>
                <w:rFonts w:ascii="Arial" w:eastAsia="Arial" w:hAnsi="Arial" w:cs="Arial"/>
                <w:sz w:val="20"/>
                <w:szCs w:val="20"/>
                <w:lang w:val="en-US"/>
              </w:rPr>
              <w:t>, „Journal of Big Data” t. 9 nr 1 (2022), DOI:</w:t>
            </w:r>
            <w:hyperlink r:id="rId7">
              <w:r w:rsidRPr="00846CB7">
                <w:rPr>
                  <w:rFonts w:ascii="Arial" w:eastAsia="Arial" w:hAnsi="Arial" w:cs="Arial"/>
                  <w:sz w:val="20"/>
                  <w:szCs w:val="20"/>
                  <w:lang w:val="en-US"/>
                </w:rPr>
                <w:t xml:space="preserve"> </w:t>
              </w:r>
            </w:hyperlink>
            <w:hyperlink r:id="rId8">
              <w:r w:rsidRPr="00846CB7">
                <w:rPr>
                  <w:rFonts w:ascii="Arial" w:eastAsia="Arial" w:hAnsi="Arial" w:cs="Arial"/>
                  <w:color w:val="1155CC"/>
                  <w:sz w:val="20"/>
                  <w:szCs w:val="20"/>
                  <w:u w:val="single"/>
                  <w:lang w:val="en-US"/>
                </w:rPr>
                <w:t>10.1186/s40537-022-00610-6</w:t>
              </w:r>
            </w:hyperlink>
            <w:r w:rsidRPr="00846CB7">
              <w:rPr>
                <w:rFonts w:ascii="Arial" w:eastAsia="Arial" w:hAnsi="Arial" w:cs="Arial"/>
                <w:sz w:val="20"/>
                <w:szCs w:val="20"/>
                <w:lang w:val="en-US"/>
              </w:rPr>
              <w:t xml:space="preserve"> (140 punktów)</w:t>
            </w:r>
          </w:p>
          <w:p w:rsidR="00846CB7" w:rsidRDefault="00846CB7" w:rsidP="00762B46">
            <w:pPr>
              <w:numPr>
                <w:ilvl w:val="0"/>
                <w:numId w:val="2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Jaruga D., Komunikacja sieciowa. Źródła informacji Big Data, ISBN: 978-83-65741-75-2, Warszawa 2021. (100 punktów)</w:t>
            </w:r>
          </w:p>
          <w:p w:rsidR="00846CB7" w:rsidRDefault="00846CB7" w:rsidP="00762B46">
            <w:pPr>
              <w:numPr>
                <w:ilvl w:val="0"/>
                <w:numId w:val="2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Jaruga D., API kluczem do zasobów big data [w:] Uczelnia Techniczno-Handlowa im. H. Chodkowskiej w Warszawie 2021. (100 punktów)</w:t>
            </w:r>
          </w:p>
          <w:p w:rsidR="00846CB7" w:rsidRDefault="00846CB7" w:rsidP="00762B46">
            <w:pPr>
              <w:numPr>
                <w:ilvl w:val="0"/>
                <w:numId w:val="2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Gogołek W., Jaruga D., Z badań nad systemem rafinacji informacji sieciowej identyfikacja sentymentów, „Studia Medioznawcze” 2016, nr 4 (67) s. 103-111 (12 punktów)</w:t>
            </w:r>
          </w:p>
          <w:p w:rsidR="00846CB7" w:rsidRDefault="00846CB7" w:rsidP="00762B46">
            <w:pPr>
              <w:numPr>
                <w:ilvl w:val="0"/>
                <w:numId w:val="2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 Gogołek, D. Jaruga, K. Kowalik, P. Celiński, Z badań nad wykorzystaniem raﬁnacji informacji sieciowej… Wybory prezydenckie i parlamentarne 2015, „Studia Medioznawcze” 2015, nr 3 (62) s. 31-41 (12 punktów)</w:t>
            </w:r>
          </w:p>
          <w:p w:rsidR="00846CB7" w:rsidRDefault="00846CB7" w:rsidP="00762B46">
            <w:pPr>
              <w:numPr>
                <w:ilvl w:val="0"/>
                <w:numId w:val="2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 Jaruga, Rafinacja danych Big Data dla materiałów wideo, Logistyka i administrowanie w mediach, WDIB 2016 s. 63-75 , ISBN-978-83-944096-3-0</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2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działalność innowacyjna i praktyczne efekty badań (z wyszczególnieniem kwoty środków finansowych pozyskanych dla Uniwersytetu Warszawskiego)</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2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Realizacja projektu: Identyfikacja, Kolekcjonowanie i ocena nieprzyjaznych operacji dezinformacyjnych w cyberprzestrzeni, prowadzone w oparciu o narzędzia teleinformatyczne (IKONA) Cybersecident/489281/IV/NCBR/2021 – Konsorcjum CRI-UW (6,6 mln)</w:t>
            </w:r>
          </w:p>
          <w:p w:rsidR="00846CB7" w:rsidRDefault="00846CB7" w:rsidP="00762B46">
            <w:pPr>
              <w:numPr>
                <w:ilvl w:val="0"/>
                <w:numId w:val="2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Realizacja projektu: Opracowanie rozwiązania dotyczącego pozyskiwania i analizowania informacji ze źródeł BigData z zakresu B+R+I. Numer grantu/projektu 2/17/PNInstytucja (podmiot realizujący) Uniwersytet Warszawski. Źródło finansowania NCBiR. Wysokość przyznanych środków etap I - 540 020 zł + VAT; etap II - 939 000 zł + VAT. Rola w projekcie - członek zespołu.</w:t>
            </w:r>
          </w:p>
          <w:p w:rsidR="00846CB7" w:rsidRDefault="00846CB7" w:rsidP="00762B46">
            <w:pPr>
              <w:numPr>
                <w:ilvl w:val="0"/>
                <w:numId w:val="2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projekcie: Identyfikacja, Kolekcjonowanie i ocena nieprzyjaznych operacji dezinformacyjnych w  cyberprzestrzeni, prowadzonym w oparciu o narzędzia teleinformatyczne (IKONA) Cybersecident/489281/IV/NCBR/2021 – Konsorcjum CRI-UW (6,6 mln)</w:t>
            </w:r>
          </w:p>
          <w:p w:rsidR="00846CB7" w:rsidRDefault="00846CB7" w:rsidP="00762B46">
            <w:pPr>
              <w:tabs>
                <w:tab w:val="left" w:pos="1134"/>
              </w:tabs>
              <w:ind w:left="382"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konferencjach, sympozjach, sesjach naukowych, seminariach </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3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РЕГІОНАЛЬНА ЖУРНАЛІСТИКА: РЕАЛІЇ, ВИКЛИКИ, ПЕРСПЕКТИВИ / Tarnopolski Narodowy Pedagogiczny Uniwersytet im. Włodimira Hnatiuka – Tarnopol – Ukraina (2021 r.) Wygłoszony referat: API w mediach społecznościowych źródłem informacji dziennikarskiej / Social media API as source of journalistic information</w:t>
            </w:r>
          </w:p>
          <w:p w:rsidR="00846CB7" w:rsidRDefault="00846CB7" w:rsidP="00762B46">
            <w:pPr>
              <w:numPr>
                <w:ilvl w:val="0"/>
                <w:numId w:val="3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Big Data – rafinacja informacji – medycyna – ekonomia – media / Uczelnia Techniczno-Handlowa im. H. Chodkowskiej w Warszawie – Warszawa – Polska (2021 r.) Wygłoszony referat: API kluczem do zasobów big data Przewodnictwo w sesji.</w:t>
            </w:r>
          </w:p>
          <w:p w:rsidR="00846CB7" w:rsidRDefault="00846CB7" w:rsidP="00762B46">
            <w:pPr>
              <w:numPr>
                <w:ilvl w:val="0"/>
                <w:numId w:val="3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Konferencja: VI KONFERENCJA NAUKOWA, Logistyka i zarządzanie w mediach, Rafinacja Big Data – Zarządzanie Big Data, Warszawa, Wydział Dziennikarstwa, Informacji i Bibliologii Uniwersytetu Warszawskiego (2019 r.) Wygłoszony referat: Open Source w Big Data</w:t>
            </w:r>
          </w:p>
          <w:p w:rsidR="00846CB7" w:rsidRDefault="00846CB7" w:rsidP="00762B46">
            <w:pPr>
              <w:numPr>
                <w:ilvl w:val="0"/>
                <w:numId w:val="3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Media Przyszłości, Zamek Królewski w Warszawie - Arkady Kubickiego, Warszawa. Organizator konferencji: Polska Agencja Prasowa SA. (2018 r.). Udział w debacie ekspertów.</w:t>
            </w:r>
          </w:p>
          <w:p w:rsidR="00846CB7" w:rsidRDefault="00846CB7" w:rsidP="00762B46">
            <w:pPr>
              <w:numPr>
                <w:ilvl w:val="0"/>
                <w:numId w:val="3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V KONFERENCJA NAUKOWA, Logistyka i zarządzanie w mediach, Rafinacja Big Data – Zarządzanie Big Data.Warszawa, Wydział Dziennikarstwa, Informacji i Bibliologii Uniwersytetu Warszawskiego (2018 r.) Wygłoszony referat: Monitorowanie infrastruktury badawczej Big Data</w:t>
            </w:r>
          </w:p>
          <w:p w:rsidR="00846CB7" w:rsidRDefault="00846CB7" w:rsidP="00762B46">
            <w:pPr>
              <w:numPr>
                <w:ilvl w:val="0"/>
                <w:numId w:val="3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IV KONFERENCJA NAUKOWA, Logistyka i zarządzanie w mediach, Rafinacja Big Data – nowe źródło informacji. Wygłoszony referat: Big Data – broker wiadomości (2017 r.)</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nagrody i wyróżnienia za pracę naukową</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Prezesa Rady Ministrów za rozprawy doktorskie i habilitacyjne za rok 2019 oraz działalność naukową i wdrożeniową (2020 r.)</w:t>
            </w:r>
          </w:p>
          <w:p w:rsidR="00846CB7" w:rsidRDefault="00846CB7" w:rsidP="00762B46">
            <w:pPr>
              <w:numPr>
                <w:ilvl w:val="0"/>
                <w:numId w:val="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indywidualna Dziekana Wydziału Dziennikarstwa, Informacji i Bibliologii Uniwersytetu Warszawskiego za osiągnięcia w pracy badawczej i dydaktycznej. (2020 r.)</w:t>
            </w:r>
          </w:p>
          <w:p w:rsidR="00846CB7" w:rsidRDefault="00846CB7" w:rsidP="00762B46">
            <w:pPr>
              <w:numPr>
                <w:ilvl w:val="0"/>
                <w:numId w:val="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Wyróżnienie rozprawy doktorskiej - Rada Naukowa Dyscypliny Nauki o Komunikacji Społecznej i Mediach na Wydziale Dziennikarstwa, Informacji i Bibliologii UW (2019 r.)</w:t>
            </w:r>
          </w:p>
          <w:p w:rsidR="00846CB7" w:rsidRDefault="00846CB7" w:rsidP="00762B46">
            <w:pPr>
              <w:numPr>
                <w:ilvl w:val="0"/>
                <w:numId w:val="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indywidualna Rektora Uniwersytetu Warszawskiego (2019 r.)</w:t>
            </w:r>
          </w:p>
          <w:p w:rsidR="00846CB7" w:rsidRDefault="00846CB7" w:rsidP="00762B46">
            <w:pPr>
              <w:numPr>
                <w:ilvl w:val="0"/>
                <w:numId w:val="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indywidualna Dziekana Wydziału Dziennikarstwa, Informacji i Bibliologii Uniwersytetu Warszawskiego (2018 r.)</w:t>
            </w:r>
          </w:p>
          <w:p w:rsidR="00846CB7" w:rsidRDefault="00846CB7" w:rsidP="00762B46">
            <w:pPr>
              <w:numPr>
                <w:ilvl w:val="0"/>
                <w:numId w:val="5"/>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indywidualna Rektora Uniwersytetu Warszawskiego (2017 r.)</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działalność popularyzatorska (upowszechnianie wiedzy i kultury – publikacje popularnonaukowe, prelekcje, udział w przedsięwzięciach popularyzujących wiedzę i kulturę)</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Realizacja materiału wideo - nagranie wideo i dźwięku wraz z nieliniowym montażem koncertu pt. Film o szczęściu, prawykonanie utworu Mała suita o szczęściu Pawła Tomasza Grajnerta. </w:t>
            </w:r>
          </w:p>
          <w:p w:rsidR="00846CB7" w:rsidRDefault="00846CB7" w:rsidP="00762B46">
            <w:pPr>
              <w:numPr>
                <w:ilvl w:val="0"/>
                <w:numId w:val="8"/>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 xml:space="preserve">Materiał wideo pod adresem: </w:t>
            </w:r>
            <w:r>
              <w:rPr>
                <w:rFonts w:ascii="Arial" w:eastAsia="Arial" w:hAnsi="Arial" w:cs="Arial"/>
                <w:color w:val="000000"/>
                <w:sz w:val="20"/>
                <w:szCs w:val="20"/>
              </w:rPr>
              <w:br/>
              <w:t>https://pl-pl.facebook.com/1781945982077994/videos/824960841304752</w:t>
            </w:r>
          </w:p>
          <w:p w:rsidR="00846CB7" w:rsidRDefault="00846CB7" w:rsidP="00762B46">
            <w:pPr>
              <w:numPr>
                <w:ilvl w:val="0"/>
                <w:numId w:val="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Realizacja materiału wideo - nagranie wraz z nieliniowym montażem, z koncertu-prawykonania utworu LUD.owy. Kompozycja napisana przez Mieczysława Baumgarta na zamówienie Stowarzyszenia The Project. Łączy w sobie współczesne opracowania pieśni tradycyjnych pochodzących z różnych regionów folklorystycznych Polski (2018 r.)</w:t>
            </w:r>
          </w:p>
          <w:p w:rsidR="00846CB7" w:rsidRDefault="00846CB7" w:rsidP="00762B46">
            <w:pPr>
              <w:numPr>
                <w:ilvl w:val="0"/>
                <w:numId w:val="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Materiał wideo pod adresem: https://youtu.be/h4A-3xe6TF4 </w:t>
            </w:r>
          </w:p>
          <w:p w:rsidR="00846CB7" w:rsidRDefault="00846CB7" w:rsidP="00762B46">
            <w:pPr>
              <w:numPr>
                <w:ilvl w:val="0"/>
                <w:numId w:val="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Prelekcja: Bezpieczeństwo - Czy bezpiecznie korzystam z mojego smartfona i telefonu? Szkoła Podstawowa nr 4 w Piastowie (2017 r.)</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1"/>
              </w:numPr>
              <w:tabs>
                <w:tab w:val="left" w:pos="1134"/>
              </w:tabs>
              <w:spacing w:after="0" w:line="240" w:lineRule="auto"/>
              <w:ind w:left="357" w:right="505" w:hanging="357"/>
              <w:jc w:val="both"/>
              <w:rPr>
                <w:rFonts w:ascii="Arial" w:eastAsia="Arial" w:hAnsi="Arial" w:cs="Arial"/>
                <w:color w:val="000000"/>
                <w:sz w:val="20"/>
                <w:szCs w:val="20"/>
              </w:rPr>
            </w:pPr>
            <w:r>
              <w:rPr>
                <w:rFonts w:ascii="Arial" w:eastAsia="Arial" w:hAnsi="Arial" w:cs="Arial"/>
                <w:color w:val="000000"/>
                <w:sz w:val="20"/>
                <w:szCs w:val="20"/>
              </w:rPr>
              <w:t>inne formy działalności naukowej</w:t>
            </w:r>
          </w:p>
          <w:p w:rsidR="00846CB7" w:rsidRDefault="00846CB7" w:rsidP="00762B46">
            <w:pPr>
              <w:tabs>
                <w:tab w:val="left" w:pos="1134"/>
              </w:tabs>
              <w:ind w:left="357" w:right="505"/>
              <w:jc w:val="both"/>
              <w:rPr>
                <w:rFonts w:ascii="Arial" w:eastAsia="Arial" w:hAnsi="Arial" w:cs="Arial"/>
                <w:color w:val="000000"/>
                <w:sz w:val="20"/>
                <w:szCs w:val="20"/>
              </w:rPr>
            </w:pPr>
          </w:p>
          <w:p w:rsidR="00846CB7" w:rsidRDefault="00846CB7" w:rsidP="00762B46">
            <w:pPr>
              <w:tabs>
                <w:tab w:val="left" w:pos="1134"/>
              </w:tabs>
              <w:spacing w:after="120"/>
              <w:ind w:right="505"/>
              <w:jc w:val="both"/>
              <w:rPr>
                <w:rFonts w:ascii="Arial" w:eastAsia="Arial" w:hAnsi="Arial" w:cs="Arial"/>
                <w:color w:val="000000"/>
                <w:sz w:val="20"/>
                <w:szCs w:val="20"/>
              </w:rPr>
            </w:pPr>
            <w:r>
              <w:rPr>
                <w:rFonts w:ascii="Arial" w:eastAsia="Arial" w:hAnsi="Arial" w:cs="Arial"/>
                <w:color w:val="000000"/>
                <w:sz w:val="20"/>
                <w:szCs w:val="20"/>
              </w:rPr>
              <w:t>Ze względu na realizowane obowiązki naukowo-dydaktyczne systematycznie rozwijam umiejętności zawodowe w ramach pracy własnej polegającej na:</w:t>
            </w:r>
          </w:p>
          <w:p w:rsidR="00846CB7" w:rsidRDefault="00846CB7" w:rsidP="00762B46">
            <w:pPr>
              <w:numPr>
                <w:ilvl w:val="0"/>
                <w:numId w:val="11"/>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rozwoju zawodowym w zakresie IT – przetwarzania dużych zbiorów danych w tym systemów baz danych, systemów wspomagających procesy badawcze;</w:t>
            </w:r>
          </w:p>
          <w:p w:rsidR="00846CB7" w:rsidRDefault="00846CB7" w:rsidP="00762B46">
            <w:pPr>
              <w:numPr>
                <w:ilvl w:val="0"/>
                <w:numId w:val="1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bieżącym monitorowaniu nowości w zakresie zainteresowań badawczych.</w:t>
            </w:r>
          </w:p>
          <w:p w:rsidR="00846CB7" w:rsidRDefault="00846CB7" w:rsidP="00762B46">
            <w:pPr>
              <w:tabs>
                <w:tab w:val="left" w:pos="1134"/>
              </w:tabs>
              <w:ind w:right="503"/>
              <w:jc w:val="both"/>
              <w:rPr>
                <w:rFonts w:ascii="Arial" w:eastAsia="Arial" w:hAnsi="Arial" w:cs="Arial"/>
                <w:color w:val="000000"/>
                <w:sz w:val="20"/>
                <w:szCs w:val="20"/>
              </w:rPr>
            </w:pPr>
          </w:p>
        </w:tc>
      </w:tr>
      <w:bookmarkEnd w:id="2"/>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846CB7" w:rsidTr="00762B46">
        <w:tc>
          <w:tcPr>
            <w:tcW w:w="9167" w:type="dxa"/>
          </w:tcPr>
          <w:p w:rsidR="00846CB7" w:rsidRDefault="00846CB7" w:rsidP="00762B46">
            <w:pPr>
              <w:numPr>
                <w:ilvl w:val="0"/>
                <w:numId w:val="23"/>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promotorstwo i recenzje prac dyplomowych, udział w komisjach podczas egzaminu dyplomowego (dane liczbowe)</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Liczba wypromowanych prac magisterskich</w:t>
            </w:r>
            <w:r>
              <w:rPr>
                <w:rFonts w:ascii="Arial" w:eastAsia="Arial" w:hAnsi="Arial" w:cs="Arial"/>
                <w:color w:val="000000"/>
                <w:sz w:val="20"/>
                <w:szCs w:val="20"/>
              </w:rPr>
              <w:tab/>
              <w:t>3</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Liczba wypromowanych prac inżynierskich/licencjackich     53</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Liczba recenzji prac dyplomowych    39</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komisjach podczas egzaminów dyplomowych</w:t>
            </w:r>
            <w:r>
              <w:rPr>
                <w:rFonts w:ascii="Arial" w:eastAsia="Arial" w:hAnsi="Arial" w:cs="Arial"/>
                <w:color w:val="000000"/>
                <w:sz w:val="20"/>
                <w:szCs w:val="20"/>
              </w:rPr>
              <w:tab/>
              <w:t>3</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programów i prowadzenie nowych przedmiotów (tytuły przedmiotów)</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Zarządzanie Big Data (studia Zarządzanie Big Data) - sylabus,</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Specjalizacja Dziennikarstwo on-line (studia Dziennikarstwo) - współudział w przygotowaniu nowej wersji sylabusów,</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Rafinacja informacji (studia Zarządzanie Big Data) - sylabus,</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Proces zasilania informacyjnego baz danych (studia Zarządzanie Big Data) - sylabus,</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Projekt przejściowy (studia Zarządzanie Big Data) – sylabus.</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przygotowanie materiałów do nauczania zdalnego, np. materiałów na platformy </w:t>
            </w:r>
            <w:r>
              <w:rPr>
                <w:rFonts w:ascii="Arial" w:eastAsia="Arial" w:hAnsi="Arial" w:cs="Arial"/>
                <w:color w:val="000000"/>
                <w:sz w:val="20"/>
                <w:szCs w:val="20"/>
              </w:rPr>
              <w:br/>
              <w:t xml:space="preserve">e-learningowe, nagranie filmów czy prowadzenie blogów naukowo-dydaktycznych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Opracowanie instrukcji do pracy zdalnej (ze względu na zajęcia zdalne związane z pandemią COVID-19) dla studentów Logistyki Mediów, Zarządzania Big Data i Dziennikarstwa on-line.</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innych pomocy dydaktycznych, np. instrukcji do ćwiczeń, programów komputerowych, zbiorów danych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Szkoleniowe bazy danych na potrzeby prowadzonych zajęć. Instalacja i konfiguracja systemów niezbędnych do prowadzenia zajęć np. RabbitMQ, MariaDB, REDIS, PHPMyAdmin itp.</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prowadzenie zajęć w ramach programów i inicjatyw międzynarodowych </w:t>
            </w:r>
          </w:p>
          <w:p w:rsidR="00846CB7" w:rsidRDefault="00846CB7" w:rsidP="00762B46">
            <w:pPr>
              <w:tabs>
                <w:tab w:val="left" w:pos="1134"/>
              </w:tabs>
              <w:ind w:left="720"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Udział w organizacji szkoły letniej w języku angielskim dla studentów University of Electronic Science and Technology of China, School of Information and Software Engineering pt. </w:t>
            </w:r>
            <w:r>
              <w:rPr>
                <w:rFonts w:ascii="Arial" w:eastAsia="Arial" w:hAnsi="Arial" w:cs="Arial"/>
                <w:color w:val="000000"/>
                <w:sz w:val="20"/>
                <w:szCs w:val="20"/>
              </w:rPr>
              <w:t>ACADEMY OF BIG DATA INCUBATOR w dniach 14-27 lipca 2019 r. na Wydziale Dziennikarstwa, Informacji i Bibliologii UW.</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Organizacja szkoły letniej w języku angielskim dla studentów Uniwersytetu Warszawskiego pt. ACADEMY OF BIG DATA INCUBATOR w dniach 1-12 lipca 2019 r. na Wydziale Dziennikarstwa, Informacji i Bibliologii UW.</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nadzór nad stanowiskiem laboratoryjnym, pracownią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Bieżąca, codzienna obsługa serwera i oprogramowania, na których działa system Debian Linux, obejmująca m.in. utrzymanie w ruchu, reakcję w przypadku awarii i nieprawidłowości działania, monitorowanie zajętości zasobów i inne czynności z obszaru zarządzania i administrowania systemami IT.</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Serwer jest wykorzystywany na potrzeby zajęć laboratoryjnych i ćwiczeń dla:</w:t>
            </w:r>
          </w:p>
          <w:p w:rsidR="00846CB7" w:rsidRDefault="00846CB7" w:rsidP="00762B46">
            <w:pPr>
              <w:numPr>
                <w:ilvl w:val="0"/>
                <w:numId w:val="1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studiów: Zarządzanie Big Data (stacjonarne),</w:t>
            </w:r>
          </w:p>
          <w:p w:rsidR="00846CB7" w:rsidRDefault="00846CB7" w:rsidP="00762B46">
            <w:pPr>
              <w:numPr>
                <w:ilvl w:val="0"/>
                <w:numId w:val="1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studiów: Logistyka Mediów (stacjonarne i zaoczne),</w:t>
            </w:r>
          </w:p>
          <w:p w:rsidR="00846CB7" w:rsidRDefault="00846CB7" w:rsidP="00762B46">
            <w:pPr>
              <w:numPr>
                <w:ilvl w:val="0"/>
                <w:numId w:val="1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specjalizacji Dziennikarstwo on-line.</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koordynacja i planowanie zajęć dydaktycznych na semestr studiów </w:t>
            </w:r>
          </w:p>
          <w:p w:rsidR="00846CB7" w:rsidRDefault="00846CB7" w:rsidP="00762B46">
            <w:pPr>
              <w:tabs>
                <w:tab w:val="left" w:pos="1134"/>
              </w:tabs>
              <w:ind w:left="720" w:right="503"/>
              <w:jc w:val="both"/>
              <w:rPr>
                <w:rFonts w:ascii="Arial" w:eastAsia="Arial" w:hAnsi="Arial" w:cs="Arial"/>
                <w:color w:val="000000"/>
                <w:sz w:val="20"/>
                <w:szCs w:val="20"/>
              </w:rPr>
            </w:pPr>
          </w:p>
          <w:tbl>
            <w:tblPr>
              <w:tblW w:w="8505" w:type="dxa"/>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6"/>
              <w:gridCol w:w="708"/>
              <w:gridCol w:w="1134"/>
              <w:gridCol w:w="993"/>
              <w:gridCol w:w="850"/>
              <w:gridCol w:w="851"/>
              <w:gridCol w:w="1123"/>
            </w:tblGrid>
            <w:tr w:rsidR="00846CB7" w:rsidTr="00762B46">
              <w:trPr>
                <w:trHeight w:val="288"/>
              </w:trPr>
              <w:tc>
                <w:tcPr>
                  <w:tcW w:w="2846" w:type="dxa"/>
                </w:tcPr>
                <w:p w:rsidR="00846CB7" w:rsidRDefault="00846CB7" w:rsidP="00762B46">
                  <w:pPr>
                    <w:rPr>
                      <w:rFonts w:ascii="Arial" w:eastAsia="Arial" w:hAnsi="Arial" w:cs="Arial"/>
                      <w:color w:val="000000"/>
                      <w:sz w:val="20"/>
                      <w:szCs w:val="20"/>
                    </w:rPr>
                  </w:pPr>
                  <w:r>
                    <w:rPr>
                      <w:rFonts w:ascii="Arial" w:eastAsia="Arial" w:hAnsi="Arial" w:cs="Arial"/>
                      <w:color w:val="000000"/>
                      <w:sz w:val="20"/>
                      <w:szCs w:val="20"/>
                    </w:rPr>
                    <w:t>Rok</w:t>
                  </w:r>
                </w:p>
              </w:tc>
              <w:tc>
                <w:tcPr>
                  <w:tcW w:w="708"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2017</w:t>
                  </w:r>
                </w:p>
              </w:tc>
              <w:tc>
                <w:tcPr>
                  <w:tcW w:w="1134"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2018</w:t>
                  </w:r>
                </w:p>
              </w:tc>
              <w:tc>
                <w:tcPr>
                  <w:tcW w:w="99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2019</w:t>
                  </w:r>
                </w:p>
              </w:tc>
              <w:tc>
                <w:tcPr>
                  <w:tcW w:w="850"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2020</w:t>
                  </w:r>
                </w:p>
              </w:tc>
              <w:tc>
                <w:tcPr>
                  <w:tcW w:w="851"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2021</w:t>
                  </w:r>
                </w:p>
              </w:tc>
              <w:tc>
                <w:tcPr>
                  <w:tcW w:w="112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SUMA</w:t>
                  </w:r>
                </w:p>
              </w:tc>
            </w:tr>
            <w:tr w:rsidR="00846CB7" w:rsidTr="00762B46">
              <w:trPr>
                <w:trHeight w:val="288"/>
              </w:trPr>
              <w:tc>
                <w:tcPr>
                  <w:tcW w:w="2846" w:type="dxa"/>
                </w:tcPr>
                <w:p w:rsidR="00846CB7" w:rsidRDefault="00846CB7" w:rsidP="00762B46">
                  <w:pPr>
                    <w:rPr>
                      <w:rFonts w:ascii="Arial" w:eastAsia="Arial" w:hAnsi="Arial" w:cs="Arial"/>
                      <w:color w:val="000000"/>
                      <w:sz w:val="20"/>
                      <w:szCs w:val="20"/>
                    </w:rPr>
                  </w:pPr>
                  <w:r>
                    <w:rPr>
                      <w:rFonts w:ascii="Arial" w:eastAsia="Arial" w:hAnsi="Arial" w:cs="Arial"/>
                      <w:color w:val="000000"/>
                      <w:sz w:val="20"/>
                      <w:szCs w:val="20"/>
                    </w:rPr>
                    <w:t>Liczba wypromowanych prac magisterskich</w:t>
                  </w:r>
                </w:p>
              </w:tc>
              <w:tc>
                <w:tcPr>
                  <w:tcW w:w="708"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1134"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99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0"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1"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3</w:t>
                  </w:r>
                </w:p>
              </w:tc>
              <w:tc>
                <w:tcPr>
                  <w:tcW w:w="112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3</w:t>
                  </w:r>
                </w:p>
              </w:tc>
            </w:tr>
            <w:tr w:rsidR="00846CB7" w:rsidTr="00762B46">
              <w:trPr>
                <w:trHeight w:val="288"/>
              </w:trPr>
              <w:tc>
                <w:tcPr>
                  <w:tcW w:w="2846" w:type="dxa"/>
                </w:tcPr>
                <w:p w:rsidR="00846CB7" w:rsidRDefault="00846CB7" w:rsidP="00762B46">
                  <w:pPr>
                    <w:rPr>
                      <w:rFonts w:ascii="Arial" w:eastAsia="Arial" w:hAnsi="Arial" w:cs="Arial"/>
                      <w:color w:val="000000"/>
                      <w:sz w:val="20"/>
                      <w:szCs w:val="20"/>
                    </w:rPr>
                  </w:pPr>
                  <w:r>
                    <w:rPr>
                      <w:rFonts w:ascii="Arial" w:eastAsia="Arial" w:hAnsi="Arial" w:cs="Arial"/>
                      <w:color w:val="000000"/>
                      <w:sz w:val="20"/>
                      <w:szCs w:val="20"/>
                    </w:rPr>
                    <w:t>Liczba wypromowanych prac inżynierskich/licencjackich</w:t>
                  </w:r>
                </w:p>
              </w:tc>
              <w:tc>
                <w:tcPr>
                  <w:tcW w:w="708"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5</w:t>
                  </w:r>
                </w:p>
              </w:tc>
              <w:tc>
                <w:tcPr>
                  <w:tcW w:w="1134"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10</w:t>
                  </w:r>
                </w:p>
              </w:tc>
              <w:tc>
                <w:tcPr>
                  <w:tcW w:w="99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8</w:t>
                  </w:r>
                </w:p>
              </w:tc>
              <w:tc>
                <w:tcPr>
                  <w:tcW w:w="850"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14</w:t>
                  </w:r>
                </w:p>
              </w:tc>
              <w:tc>
                <w:tcPr>
                  <w:tcW w:w="851"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16</w:t>
                  </w:r>
                </w:p>
              </w:tc>
              <w:tc>
                <w:tcPr>
                  <w:tcW w:w="112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53</w:t>
                  </w:r>
                </w:p>
              </w:tc>
            </w:tr>
            <w:tr w:rsidR="00846CB7" w:rsidTr="00762B46">
              <w:trPr>
                <w:trHeight w:val="288"/>
              </w:trPr>
              <w:tc>
                <w:tcPr>
                  <w:tcW w:w="2846" w:type="dxa"/>
                </w:tcPr>
                <w:p w:rsidR="00846CB7" w:rsidRDefault="00846CB7" w:rsidP="00762B46">
                  <w:pPr>
                    <w:rPr>
                      <w:rFonts w:ascii="Arial" w:eastAsia="Arial" w:hAnsi="Arial" w:cs="Arial"/>
                      <w:color w:val="000000"/>
                      <w:sz w:val="20"/>
                      <w:szCs w:val="20"/>
                    </w:rPr>
                  </w:pPr>
                  <w:r>
                    <w:rPr>
                      <w:rFonts w:ascii="Arial" w:eastAsia="Arial" w:hAnsi="Arial" w:cs="Arial"/>
                      <w:color w:val="000000"/>
                      <w:sz w:val="20"/>
                      <w:szCs w:val="20"/>
                    </w:rPr>
                    <w:t>Liczba recenzji prac dyplomowych</w:t>
                  </w:r>
                </w:p>
              </w:tc>
              <w:tc>
                <w:tcPr>
                  <w:tcW w:w="708"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8</w:t>
                  </w:r>
                </w:p>
              </w:tc>
              <w:tc>
                <w:tcPr>
                  <w:tcW w:w="1134"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6</w:t>
                  </w:r>
                </w:p>
              </w:tc>
              <w:tc>
                <w:tcPr>
                  <w:tcW w:w="99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0"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7</w:t>
                  </w:r>
                </w:p>
              </w:tc>
              <w:tc>
                <w:tcPr>
                  <w:tcW w:w="851"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18</w:t>
                  </w:r>
                </w:p>
              </w:tc>
              <w:tc>
                <w:tcPr>
                  <w:tcW w:w="112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39</w:t>
                  </w:r>
                </w:p>
              </w:tc>
            </w:tr>
            <w:tr w:rsidR="00846CB7" w:rsidTr="00762B46">
              <w:trPr>
                <w:trHeight w:val="288"/>
              </w:trPr>
              <w:tc>
                <w:tcPr>
                  <w:tcW w:w="2846" w:type="dxa"/>
                </w:tcPr>
                <w:p w:rsidR="00846CB7" w:rsidRDefault="00846CB7" w:rsidP="00762B46">
                  <w:pPr>
                    <w:rPr>
                      <w:rFonts w:ascii="Arial" w:eastAsia="Arial" w:hAnsi="Arial" w:cs="Arial"/>
                      <w:color w:val="000000"/>
                      <w:sz w:val="20"/>
                      <w:szCs w:val="20"/>
                    </w:rPr>
                  </w:pPr>
                  <w:r>
                    <w:rPr>
                      <w:rFonts w:ascii="Arial" w:eastAsia="Arial" w:hAnsi="Arial" w:cs="Arial"/>
                      <w:color w:val="000000"/>
                      <w:sz w:val="20"/>
                      <w:szCs w:val="20"/>
                    </w:rPr>
                    <w:t>Udział w komisjach podczas egzaminów dyplomowych</w:t>
                  </w:r>
                </w:p>
              </w:tc>
              <w:tc>
                <w:tcPr>
                  <w:tcW w:w="708"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1</w:t>
                  </w:r>
                </w:p>
              </w:tc>
              <w:tc>
                <w:tcPr>
                  <w:tcW w:w="1134"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2</w:t>
                  </w:r>
                </w:p>
              </w:tc>
              <w:tc>
                <w:tcPr>
                  <w:tcW w:w="99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0"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851"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0</w:t>
                  </w:r>
                </w:p>
              </w:tc>
              <w:tc>
                <w:tcPr>
                  <w:tcW w:w="1123" w:type="dxa"/>
                </w:tcPr>
                <w:p w:rsidR="00846CB7" w:rsidRDefault="00846CB7" w:rsidP="00762B46">
                  <w:pPr>
                    <w:jc w:val="center"/>
                    <w:rPr>
                      <w:rFonts w:ascii="Arial" w:eastAsia="Arial" w:hAnsi="Arial" w:cs="Arial"/>
                      <w:color w:val="000000"/>
                      <w:sz w:val="20"/>
                      <w:szCs w:val="20"/>
                    </w:rPr>
                  </w:pPr>
                  <w:r>
                    <w:rPr>
                      <w:rFonts w:ascii="Arial" w:eastAsia="Arial" w:hAnsi="Arial" w:cs="Arial"/>
                      <w:color w:val="000000"/>
                      <w:sz w:val="20"/>
                      <w:szCs w:val="20"/>
                    </w:rPr>
                    <w:t>3</w:t>
                  </w:r>
                </w:p>
              </w:tc>
            </w:tr>
          </w:tbl>
          <w:p w:rsidR="00846CB7" w:rsidRDefault="00846CB7" w:rsidP="00762B46">
            <w:pPr>
              <w:tabs>
                <w:tab w:val="left" w:pos="1134"/>
              </w:tabs>
              <w:spacing w:before="120"/>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Współudział w organizacji planu zajęć, pozyskiwaniu pracowników zewnętrznych do prowadzenia zajęć itp.</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Prowadzenie rozliczeń końcowych zajęć na specjalizacji Dziennikarstwo on-line, polegające na zebraniu ocen cząstkowych od nauczycieli prowadzących te zajęcia.</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kierunku lub specjalności studiów, w tym autorstwo kierunkowych efektów kształcenia</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1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opracowaniu programu studiów Zarządzanie Big Data.</w:t>
            </w:r>
          </w:p>
          <w:p w:rsidR="00846CB7" w:rsidRDefault="00846CB7" w:rsidP="00762B46">
            <w:pPr>
              <w:numPr>
                <w:ilvl w:val="0"/>
                <w:numId w:val="1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Współudział w aktualizacji programu nauczania dla specjalizacji Dziennikarstwo on-line.</w:t>
            </w:r>
          </w:p>
          <w:p w:rsidR="00846CB7" w:rsidRDefault="00846CB7" w:rsidP="00762B46">
            <w:pPr>
              <w:numPr>
                <w:ilvl w:val="0"/>
                <w:numId w:val="1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Współudział w aktualizacji programu nauczania dla Logistyki Mediów.</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uzyskanie nagród ministerialnych lub rektorskich </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1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Prezesa Rady Ministrów za rozprawy doktorskie i habilitacyjne za rok 2019 oraz działalność naukową i wdrożeniową (2020 r.)</w:t>
            </w:r>
          </w:p>
          <w:p w:rsidR="00846CB7" w:rsidRDefault="00846CB7" w:rsidP="00762B46">
            <w:pPr>
              <w:numPr>
                <w:ilvl w:val="0"/>
                <w:numId w:val="1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indywidualna Rektora Uniwersytetu Warszawskiego (2019 r.)</w:t>
            </w:r>
          </w:p>
          <w:p w:rsidR="00846CB7" w:rsidRDefault="00846CB7" w:rsidP="00762B46">
            <w:pPr>
              <w:numPr>
                <w:ilvl w:val="0"/>
                <w:numId w:val="1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Nagroda indywidualna Rektora Uniwersytetu Warszawskiego (2017 r.)</w:t>
            </w:r>
          </w:p>
          <w:p w:rsidR="00846CB7" w:rsidRDefault="00846CB7" w:rsidP="00762B46">
            <w:pPr>
              <w:tabs>
                <w:tab w:val="left" w:pos="1134"/>
              </w:tabs>
              <w:ind w:right="503"/>
              <w:jc w:val="both"/>
              <w:rPr>
                <w:rFonts w:ascii="Arial" w:eastAsia="Arial" w:hAnsi="Arial" w:cs="Arial"/>
                <w:color w:val="000000"/>
                <w:sz w:val="20"/>
                <w:szCs w:val="20"/>
              </w:rPr>
            </w:pP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dr Piotr Potejko</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 xml:space="preserve">Piotr Potejko posiada ponad 25-letnie doświadczenie w dziedzinie bezpieczeństwa. Były oficer ABW w stopniu pułkownika. Jego wcześniejsza kariera zawodowa związana była przede wszystkich z tworzeniem strategii bezpieczeństwa, ochroną informacji niejawnych, czy szkoleniem funkcjonariuszy służb specjalnych na całym świecie. Pełnił m.in. funkcję Dyrektora Departamentu Ochrony Informacji Niejawnych ABW, gdzie odpowiadał za ochronę informacji krajowych, jak i zagranicznych UE/NATO w administracji i biznesie, a także Dyrektora Centralnego Ośrodka Szkolenia ABW, sprawując nadzór nad organizacją systemu szkoleń dla cywilnych służb specjalnych wywiadu i kontrwywiadu RP. Jako członek Komitetu Sterującego Narodowego Centrum Badań i Rozwoju wspierał działania organów administracji państwowej w zakresie realizacji strategicznych i międzynarodowych kwestii bezpieczeństwa oraz międzynarodowych projektów związanych z badaniami na rzecz bezpieczeństwa i obronności w polskiej gospodarce.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Jest specjalistą w zakresie organizacji i wdrażania systemów bezpieczeństwa, zarządzania zidentyfikowanymi sytuacjami kryzysowymi i terrorystycznymi. W trakcie pracy zawodowej specjalizuje się dodatkowo w zarządzaniu jakością w administracji oraz wdrażaniem bezpieczeństwa przemysłowego. Zajmuje się praktycznym przygotowaniem specjalistów  w zakresie bezpieczeństwa w administracji i biznesie, utrzymania porządku publicznego oraz prowadzeniem wykładów o tematyce cyberbezieczeństwa, służb specjalnych, dezinformacji oraz pozyskiwania informacji.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Uczestnik prac komisji sejmowej nad nowelizacją Ustawy o ochronie informacji niejawnych. Uczestnik prac Sejmowej Komisji Spraw Zagranicznych w sprawie umów międzynarodowych w zakresie bezpieczeństwa informacji. Przedstawiciel Prezesa Rady Ministrów w zakresie procedowania i parafowania umów międzypaństwowych oraz przedstawiciel strony polskiej w posiedzeniach Komitetu Bezpieczeństwa NATO i Unii Europejskiej w Brukseli. Kontroler i ekspert w zakresie bezpieczeństwa informacji w polskich przedstawicielstwach dyplomatycznych.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Pomysłodawca i realizujący pięć międzynarodowych projektów z zakresu bezpieczeństwa wewnętrznego i międzynarodowego oraz kryminalistyki.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Redaktor naczelny „Przeglądu bezpieczeństwa wewnętrznego” a także Zastępca Szefa Instytutu Bezpieczeństwa Wewnętrznego w Poznaniu oraz współzałożyciel honorowy ogólnopolskiego Stowarzyszenia Wspierania Bezpieczeństwa Narodowego.</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bezpieczeństwo wewnętrzne i międzynarodowe; służby specjalne we współczesnym państwie; organizacja i wdrażanie systemów bezpieczeństwa; zarządzanie sytuacjami kryzysowymi i terrorystycznymi; zarządzanie jakością w administracji; cyberbezpieczeństwo; dezinformacja oraz pozyskiwanie informacji; bezpieczeństwo informacji w biznesie; ochrona informacji niejawnych, danych osobowych i tajemnic prawnie chronionych; kryminalisytka.</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Tr="00762B46">
        <w:tc>
          <w:tcPr>
            <w:tcW w:w="9167" w:type="dxa"/>
          </w:tcPr>
          <w:p w:rsidR="00846CB7" w:rsidRDefault="00846CB7" w:rsidP="00762B46">
            <w:pPr>
              <w:numPr>
                <w:ilvl w:val="0"/>
                <w:numId w:val="23"/>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publikacje naukowe</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Rozwój terroryzmu w Wielkiej Brytanii (w:) Hołyst B, Goc M, Terroryzm w poglądach społeczeństwa polskiego, Warszawa 2011, 29-63 (wspólnie z: D.Szlachter, W. Kaczorowski, Z. Muszyński, P. Chomentowski, T. Borzoł).</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Organizacje międzynarodowe wobec zjawiska terroryzmu (w:) Hołyst B, Goc M, Terroryzm w poglądach społeczeństwa polskiego, Warszawa 2011, 7-28 (wspólnie z: D.Szlachter, W. Kaczorowski, Z. Muszyński, P. Chomentowski, T. Borzoł).</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Radykalizacja poglądów w Holandii (w:) Hołyst B, Goc M, Terroryzm w poglądach społeczeństwa polskiego, Warszawa 2011, 65-89 (wspólnie z: D.Szlachter, W. Kaczorowski, Z. Muszyński, P. Chomentowski, T. Borzoł).</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Międzynarodowy Warsztat Ekspercki pt. „Antyterrorystyczna polityka informacyjna – najlepsze praktyki i wyzwania”, Przegląd Bezpieczeństwa Wewnętrznego, Nr 4(3), 2011, 251-258 (wspólnie z I. Idzikowska)</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Niewykorzystany potencjał wizerunku Agencji Bezpieczeństwa Wewnętrznego – próba oceny stanu i perspektywy (w:) Komunikacja w sytuacjach kryzysowych IV (wspólnie z N. Dydyńska UW), Gliwice – Katowice 2013, 159-166, red. J. Stawnicka, P. Potejko, Wyd. Wydawnictwa i Szkolenia Opcjon, Gliwice – Katowice 2013, ss 191, 9 arkuszy, język polski, afiliacja UW – współautor artykułu.</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Negocjacje - kiedy koniec staje się początkiem. Użycie broni przez policyjnego strzelca wyborowego- wstęp do dyskusji, (w:) Komunikacja w sytuacjach kryzysowych IV. Tom I  (wspólnie z A. Bryńska UW), Gliwice – Katowice 2013, 69-78, red. J. Stawnicka, P. Potejko, Wyd. Wydawnictwa i Szkolenia Opcjon, Gliwice – Katowice 2013, ss 191, 9 arkuszy, język polski, afiliacja UW – współautor artykułu.</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Radicalization of Religious Minority Grups and the Terrorist Threat – Report from Reserch on Religious Extremism among Islam Believers Living in Poland, Internal Security. </w:t>
            </w:r>
            <w:r>
              <w:rPr>
                <w:rFonts w:ascii="Arial" w:eastAsia="Arial" w:hAnsi="Arial" w:cs="Arial"/>
                <w:color w:val="000000"/>
                <w:sz w:val="20"/>
                <w:szCs w:val="20"/>
              </w:rPr>
              <w:t>Semiannual Journal, Volume 4, Issue 2. Szczytno 2014, 77-98 (wspólnie z: D.Szlachter, W. Kaczorowski, Z. Muszyński, P. Chomentowski, T. Borzoł).</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Jednostka kontrterrorystyczna – element działań bojowych w systemie bezpieczeństwa antyterrorystycznego, Przegląd Bezpieczeństwa Wewnętrznego, Nr 7(4) 2012, ss. 229-233. Wydawnictwo ABW, język polski, afiliacja ABW – autor artykułu.</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Reguła autorytetu a zarządzanie informacją w sytuacjach kryzysowych,(w:) Stawnicka J, Komunikacja w sytuacjach kryzysowych III, Wydawnictwo Uniwersytetu Śląskiego, Katowice 2012, 139-149, red. J. Stawnicka, ss. 188, 9 arkuszy, język polski, afiliacja UW – autor artykułu.</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Radykalizacja środowisk mniejszości religijnych a zagrożenia o charakterze terrorystycznym – doniesienia z badań nad ekstremizmem religijnym wśród wyznawców islamu mieszkających w Polsce  (w:) Bogdalski P, Nowakowski Z, Rajchel K, Ocena Poziomu zagrożenia Terroryzmem i organizacji systemu antyterrorystycznego w Polsce. Warszawa 2012, 683-710 (wspólnie z: D.Szlachter, W. Kaczorowski, Z. Muszyński, P. Chomentowski, T. Borzoł).</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Generał dywizji Stefan Rowecki «Grot» – patron Centralnego Ośrodka Szkolenia ABW w Emowie – Polak, żołnierz, patriota, Przegląd Bezpieczeństwa Wewnętrznego, Nr 6(4) 2012, 251-253 (wspólnie z: W. Basiński)</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Radykalizacja poglądów religijnych w społecznościach muzułmańskich wybranych państw Unii Europejskiej Polska – Holandia – Wielka Brytania, Wyd. WSPOL Szczytno, 2012, 225 ss (współredakcja naukowa – razem z: D.Szlachter, W. Kaczorowski, Z. Muszyński, P. Chomentowski, T. Borzoł), 11 arkuszy. Język polski i angielski. </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Redakcja naukowa książki „Komunikacja w sytuacjach kryzysowych IV. Tom I”, Wyd. Wydawnictwa i Szkolenia Opcjon, Gliwice – Katowice 2013, ss 191, 9 arkuszy. Język polski. Afiliacja UW.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Radicalization of Religious Minority Grups and the Terrorist Threat – Report from Reserch on Religious Extremism among Islam Believers Living in Poland, Internal Security. </w:t>
            </w:r>
            <w:r>
              <w:rPr>
                <w:rFonts w:ascii="Arial" w:eastAsia="Arial" w:hAnsi="Arial" w:cs="Arial"/>
                <w:color w:val="000000"/>
                <w:sz w:val="20"/>
                <w:szCs w:val="20"/>
              </w:rPr>
              <w:t>Semiannual Journal, Volume 4, Issue 2. Szczytno 2014, współautor.</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Recenzent książki J. Stawnickiej „ Bezpieczeństwo w sytuacjach kryzysowych. Miedzy rytuałem, rutyną a kreatywnością”. Wydawnictwa i Szkolenia Opcjon, Katowice 2014r.</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Redakcja naukowa książki B.Hołyst, J. Pomykała, P. Potejko „Nowe techniki badań kryminalistycznych a bezpieczeństwo informacji”. Wydawnictwo Naukowe PWN. Warszawa 2014., ss. 285. </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Redakcja naukowa książki B.Hołyst, J. Pomykała, P. Potejko „Kryptografia i bezpieczeństwo informacji”, Warszawa 2014. </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Redakcja naukowa B.Hołyst, P. Potejko „Technika kryminalistyczna w pierwszej połowie XXI wieku. Wybrane problemy. PWN. Warszawa 2014, ss. 902.</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Homegrown terrorism i jego źródła jako nowe wyzwanie dla współczesnego bezpieczeństwa w kontekście wielo – oraz międzypodmiotowej komunikacji (w:)„Optymalizacja procesu przepływu informacji w sytuacjach zagrożenia państwa” (wspólnie z I. Jankowska-Czyż), Warszawa 2015, ss. 131-171, red. J. Stawnicka, B. Hołyst, P. Potejko – współautor artykułu.</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Klauzule ochrony informacji w wybranych państwach (w:) Jawność i jej ograniczenia. Tom VI. Struktura tajemnic, Wydanie I. Wydawnictwo C.H. BECK, Warszawa 2015, red. A. Gryszczyńska – autor rodziału.</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Redakcja naukowa książki B.Hołyst, J.Stawnicka, P. Potejko „Optymalizacja procesu przepływu informacji w sytuacjach zagrożenia państwa” WSPOL, Warszawa 2015. </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Klasyfikacja podstaw prawnych obowiązku zachowania tajemnicy (w:) Jawność i jej ograniczenia. Tom VI. Struktura tajemnic, Wydanie II. Wydawnictwo C.H. BECK. Warszawa 2016, red. A. Gryszczyńska wydanie drugie – współautor rozdziału monografii naukowej. Wydawnictwo C.H. Beck – 80 punktów wydawnictwo – 5 punktów rozdział</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Klauzule ochrony informacji w wybranych państwach, [w:] Jawność i jej ograniczenia, Tom VI, Struktura tajemnic, (red.) G. Szpor, Wydawnictwo C.H. BECK. Warszawa, 2016 – autor rozdziału. Wydawnictwo C.H. Beck – 80 punktów – 5 punktów rozdział</w:t>
            </w:r>
          </w:p>
          <w:p w:rsidR="00846CB7" w:rsidRP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Religious Extremism among Islam Believers Living in Poland – the Results and Conclusions of the Research, [w:] Radicalism and Terrorism in the 21st Century. Implications for Security, (red.) A. Sroka, F. Castro-Rial Garrone, R. D. Torres Kumbrián, Peter Lang GmbH Internationaler Verlag der Wissenschaften Frankfurt am Main 2017 – współautor rozdziału, DOI 10.3726/b10680 – wydawnictwo z poziomu I - 20 punktów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Społeczeństwo informacyjne, [w:] Encyklopedia administracji publicznej, (red.) J.Itrich-Drabarek, Dom Wydawniczy i Handlowy Elipsa, Warszawa, 2018 -  autor rozdziału. ISBN 9788380171824 – wydawnictwo z poziomu I - 20 punktów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Ochrona Informacji Niejawnych, [w] Encyklopedia administracji publicznej, (red.) J.Itrich-Drabarek, Dom Wydawniczy i Handlowy Elipsa, Warszawa, 2018 -  autor rozdziału. ISBN 9788380171824 – wydawnictwo z poziomu I - 20 punktów.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Tajemnica państwowa i służbowa, [w] Encyklopedia administracji publicznej, (red.) J.Itrich-Drabarek, Dom Wydawniczy i Handlowy Elipsa, Warszawa, 2018 -  autor rozdziału. ISBN 9788380171824 – wydawnictwo z poziomu I - 20 punktów.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Consequences of the Pandemic and Future Management of the Company, European Research Studies Journal, Volume XXIV, Issue 3, 1031-1038, 2021 – autor rozdziału, journal impact factor 1.57. </w:t>
            </w:r>
            <w:r>
              <w:rPr>
                <w:rFonts w:ascii="Arial" w:eastAsia="Arial" w:hAnsi="Arial" w:cs="Arial"/>
                <w:color w:val="000000"/>
                <w:sz w:val="20"/>
                <w:szCs w:val="20"/>
              </w:rPr>
              <w:t>DOI: 10.35808/ersj/2400, ID: 22361 – 100 punktów.</w:t>
            </w:r>
          </w:p>
          <w:p w:rsidR="00846CB7" w:rsidRP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Cross-border threats in cyberspace, [w:] Migration and border security: global perspectives, (red) Anna Sroka, Piotr Potejko, Rubén Dario Torres Kumbrián, Peter Lang GmbH 2021 – autor rozdziału – wydawnictwo z poziomu I - 20 punktów.</w:t>
            </w:r>
          </w:p>
          <w:p w:rsidR="00846CB7" w:rsidRP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Migration and border security: global perspectives, (red) Anna Sroka, Piotr Potejko, Rubén Dario Torres Kumbrián, Peter Lang GmbH 2021 – redaktor – wydawnictwo z poziomu I - 20 punktów.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Większość zdarzeń  przestępczych przeniosła się do cyberprzestrzeni, [w:] Kierunek chemia. Chemia Przemysłowa 3/2021. 5 punktów.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Chemia szybko reaguje, [w:] Chemia Przemysłowa 1/2019. 5 punktów.</w:t>
            </w:r>
          </w:p>
          <w:p w:rsidR="00846CB7" w:rsidRDefault="00846CB7" w:rsidP="00762B46">
            <w:pPr>
              <w:numPr>
                <w:ilvl w:val="0"/>
                <w:numId w:val="2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Cyberzagrożenia branży wodno-kanalizacyjnej w obecnej sytuacji międzynarodowej. Kierunek Wod-Kan 2/2022. 5 punktów.</w:t>
            </w:r>
          </w:p>
          <w:p w:rsidR="00846CB7" w:rsidRDefault="00846CB7" w:rsidP="00762B46">
            <w:pPr>
              <w:tabs>
                <w:tab w:val="left" w:pos="1134"/>
              </w:tabs>
              <w:ind w:left="1102"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projektach naukowych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Wdrożenie nowoczesnych metod kryminalistycznych w działania służb specjalnych i porządku publicznego z wyników projektu naukowo-badawczego „Projektowanie badań empirycznych i analizy materiałów dotyczący specyfiki metod kryminalistyki w pracy służb specjalnych i służb porządku publicznego”. NCBiR. Wdrożenia niejawne. Warszawa 2016/217/2018.</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Realizacja grantu nr ROBR/0075/R/ID2/2013/03  na rzecz obronności bezpieczeństwa państwa, finansowanego ze środków Narodowego Centrum Badań i Rozwoju w Warszawie,  „Model regulacji jawności i jej ograniczeń w demokratycznym państwie prawnym". Warszawa 2016/2017 r.</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recenzowanie projektów i prac naukowych (nie dotyczy recenzji przygotowywanych w ramach obowiązków dydaktycznych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lastRenderedPageBreak/>
              <w:t>Recenzja naukowa artykułu: Klonowska I., Przestępczość nieletnich w powiecie makowskim – wyniki badań, dla „Kwartalnik Policyjny” Wydział Wydawnictw i Poligrafii Centrum Szkolenia Policji w Legionowie, Legionowo 2017.</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 xml:space="preserve">Promotor pomocniczy – prace doktorskie: Michał Szczygielniak: Wpływ dostępu do informacji publicznej na rozwój partycypacji obywatelskiej w Polsce na tle europejskim. Promotor prof. dr hab. Jolanta Itrich-Drabarek.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konferencjach, sympozjach, sesjach naukowych, seminariach </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i organizator międzynarodowego warsztatu eksperckiego „Antyterrorystyczna polityka informacyjna – najlepsze praktyki i wyzwania”. Emów, 7-8 kwiecień 2011r.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Współorganizator i uczestnik konferencji „Rola Narodowych Centrów Antyterrorystycznych” Poznań, Gdańsk, Wrocław Warszawa, marzec 2011.</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Inicjator i współorganizator [wespół z OPCW] międzynarodowego sympozjum antyterrorystycznego na wypadek użycia broni chemicznej pod patronatem Organizacji ds. Zakazu Broni Chemicznej (OPCW). Warszawa, luty 2011. </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Współorganizator wystawy pt. „Dzieje służb specjalnych w Polsce (1918-1945)”. Uniwersytet Warszawski. Warszawa, maj 2011.</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Współorganizator Międzynarodowej konferencji "Zwalczanie oszustw szkodzących interesom finansowym Unii Europejskiej – ujęcie praktyczne w zakresie azjatyckich zorganizowanych grup przestępczych" odbywa się w ramach projektu pod nazwą “</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 kierunku bardziej efektywnej walki ze zorganizowaną przestępczością azjatycką godzącą w ekonomiczne interesy Unii Europejskiej”, który jest współfinansowany przez Komisję Europejską (OLAF) w ramach Programu Hercule II 2007-2013, 23.11.2011r.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konferencji naukowej „Komunikacja w sytuacjach kryzysowych III”. Katowice 26.09.2012r.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Współorganizator ogólnopolskiej konferencji „Właściwe zarządzanie obiegiem informacji niejawnych” , zorganizowanej przez Agencję Bezpieczeństwa Wewnętrznego, Warszawa 28-30 czerwca 2011r.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Współorganizator wraz z UKSW, GIODO, NCPI , III i IV konferencji naukowej „Bezpieczeństwo w Internecie” UKSW 8-9.06.2011r., 29 maja 2012 r. </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i moderator konferencji naukowej „Komunikacja w sytuacjach kryzysowych IV”. Katowice 29.11.2013r.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Organizator i prowadzący konferencji naukowej „Projektowanie badań empirycznych i analiza materiałów dotyczących specyfiki metod kryminalistyki w pracy służb specjalnych służb porządku publicznego” Jachranka 25-27.11.2013r.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programowego III konferencji naukowej „Cyberprzestępczość i ochrona informacji” Wyższa Szkoła Menadżerska w Warszawie.19.04.2013 w Warszawie.</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organizacyjnego konferencji naukowej „Służby i wojska specjalne Rzeczypospolitej Polskiej w operacjach poza granicami kraju”. Akademia Obrony Narodowej. Warszawa – Rembertów 13.09.2013r.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honorowego konferencji „Przeszłość, teraźniejszość i przyszłość ochrony informacji niejawnych w zapewnieniu bezpieczeństwa narodowego RP” 15 lecie ustawy o ochronie informacji niejawnych. Pułtusk 22-23.01.2014r.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Współorganizator konferencji naukowej „Cyberbezpieczeństwo. Wiedza-Praktyka” Politechnika Warszawska, Uniwersytet Warszawski. Warszawa 14.05.2014r.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organizacyjnego ze strony UW konferencji naukowej nt. „Cyberbezpieczeństwo Polski” organizowanej wspólnie z Kołem naukowym bezpieczeństwa UW i Kołem naukowym studentów Politechniki Warszawskiej. Termin konferencji – czerwiec 2014r.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konferencji naukowej „Kryptografia i Bezpieczeństwo Informacji”, Wydział Matematyki, Informatyki i Mechaniki Uniwersytetu Warszawskiego, 5-6.06.2014r.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Współorganizator ogólnopolskiej konferencji naukowej "THE POWER OF SYNERGY. Współpraca Straży Granicznej, Centralnego Biura Śledczego oraz Agencji Bezpieczeństwa Wewnętrznego w zakresie zwalczania przestępczości transgranicznej i </w:t>
            </w:r>
            <w:r>
              <w:rPr>
                <w:rFonts w:ascii="Arial" w:eastAsia="Arial" w:hAnsi="Arial" w:cs="Arial"/>
                <w:color w:val="000000"/>
                <w:sz w:val="20"/>
                <w:szCs w:val="20"/>
              </w:rPr>
              <w:lastRenderedPageBreak/>
              <w:t>zorganizowanej". Straż Graniczna, Agencja Bezpieczeństwa Wewnętrznego, Centralne Biuro Śledcze Policji, Zakopane 26-29.11.2014r.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Członek komitetu naukowego konferencji naukowej „Konferencja naukowa „Biegły w Wymiarze Sprawiedliwości" Dowód z opinii biegłego w realiach procesu kontradyktoryjnego. </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Uczelnia Łazarskiego, patronat Minister Sprawiedliwości, Prokurator Generalny, Warszawa 21.05.2015r.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Członek komitetu naukowego konferencji naukowej „Służby specjalne we współczesnym państwie”, Katedra Nauk o Bezpieczeństwie, Instytut Nauk Politycznych, Uniwersytet Warszawski, Warszawa 25.06.2015r.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Współorganizator II ogólnopolskiej konferencji naukowej "THE POWER OF SYNERGY. Współpraca Straży Granicznej, Centralnego Biura Śledczego oraz Agencji Bezpieczeństwa Wewnętrznego w zakresie zwalczania przestępczości transgranicznej i zorganizowanej". Straż Graniczna, Agencja Bezpieczeństwa Wewnętrznego, Centralne Biuro Śledcze Policji, Zakopane 04-06.11.2015r.</w:t>
            </w:r>
          </w:p>
          <w:p w:rsidR="00846CB7" w:rsidRDefault="00846CB7" w:rsidP="00762B46">
            <w:pPr>
              <w:numPr>
                <w:ilvl w:val="0"/>
                <w:numId w:val="5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Moderator i prowadzący Międzynarodową Konferencję „Przestępstwa Gospodarcze”  Wyższa Szkoła Biznesu w Dąbrowie Górniczej, Uniwersytet Śląski, Ministerstwo Finansów, Dąbrowa Górnicza 24.09.2015r.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2011</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Dziewięć koncepcji kształcenia negocjatorów, referat wygłoszony na Ogólnopolskiej  Konferencji pt. Komunikacja w sytuacjach kryzysowych II,  zorganizowanej przez Uniwersytet Śląski i Komendę Wojewódzką Policji w Katowicach, Katowice 13.09.2011r.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2012</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Rola ABW w kształtowaniu bezpieczeństwa wewnętrznego państwa, referat wygłoszony na Ogólnopolskiej Konferencji pt. Bezpieczeństwo narodowe - organizacja, kompetencje i konteksty, zorganizowanej przez Uniwersytet Śląski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i Komendę Wojewódzką Policji w Katowicach oraz Wydział Bezpieczeństwa Wewnętrznego i Administracji Wyższej Szkoły Policji w Szczytnie, Sosnowiec 08.02.2012r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Cyberprzestępczość a bezpieczeństwo państwa, prezentacja panelowa ekspertów ABW- koordynator, zorganizowana przez JM Rektora Wyższej Szkoły Menedżerskiej prof. zw. dr. hab. Brunona Hołysta oraz Polskiego Towarzystwa Informatycznego, Warszawa 20.04.2012r.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Reguła autorytetu a zarządzanie informacją w sytuacjach kryzysowych, referat wygłoszony na Ogólnopolskiej  Konferencji pt. Komunikacja w sytuacjach kryzysowych III,  zorganizowanej przez Uniwersytet Śląski i Komendę Wojewódzką Policji w Katowicach, Katowice 26.09.2012r.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Konferencja naukowa „Bezpieczeństwo narodowe – organizacja, kompetencje i konteksty”. Wystąpienie nt. „Rola Agencji Bezpieczeństwa Wewnętrznego w kształtowaniu bezpieczeństwa wewnętrznego RP”. Uniwersytet Śląski w Sosnowcu 8.02.2012r.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2013</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Znaczenie ochrony informacji niejawnych dla bezpieczeństwa narodowego, referat wygłoszony na Konferencji nt. Ochrony informacji niejawnych połączonej z II obchodami Dnia Ochrony Informacji Niejawnych, zorganizowanej przez Zarząd Krajowego Stowarzyszenia Ochrony Informacji Niejawnych oraz Prezydenta Miasta Dąbrowa Górnicza, Dąbrowa Górnicza 22.01.2013r.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lastRenderedPageBreak/>
              <w:t>Wykład otwarty "Rola i zadania Agencji Bezpieczeństwa Wewnętrznego", Organizator: Politechnika Opolska, 18 kwietnia 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Tajemnice prawnie chronione w Polsce, referat wygłoszony na Konferencji nt. Tajemnica pracodawcy w podmiotach publicznych a dostęp do informacji publicznej, w ramach projektu naukowo badawczego „Model regulacji jawności i jej ograniczeń w demokratycznym państwie prawnym”. Lubliniec 7-9. 10. 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Wpływ operacji zagranicznych na działania ABW, referat wygłoszony na Konferencji nt. Służby i wojska specjalne Rzeczypospolitej Polskiej w operacjach poza granicami kraju, Akademia Obrony Narodowej, Warszawa-Rembertów 13.09.2013r.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Negocjacje – kiedy koniec staje się początkiem. Użycie broni przez policyjnego strzelca wyborowego, referat wygłoszony na Ogólnopolskiej  Konferencji pt. Komunikacja w sytuacjach kryzysowych IV,  zorganizowanej przez Uniwersytet Śląski i Komendę Wojewódzką Policji w Katowicach, Katowice 29.11.2013r. </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The EI Induced Mass Fragmentation of Some Derivatives Related to Amphetamine Chemistry, referat wygłoszony na Międzynarodowym Konferencji nt. 51 Annual Meeting of the International Association of Forensic Toxicologists, Funchal 2-6.08.2013r.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Cyberbezpieczeństwo Polski, referat wygłoszony na Seminarium nt. Komentarze politologiczne. Problematyka cyberprzestrzeni Polski, zorganizowanym przez OAP UW, Warszawa 15.10.2013r.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Bezpieczeństwo wewnętrzne Polski, referat wygłoszony na konferencji nt. Wielowymiarowość bezpieczeństwa wewnętrznego i międzynarodowego, zorganizowanej przez SGW, Warszawa 11.04.2013r.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Wszyscy jesteśmy negocjatorami. Wyzwania funkcjonariusza pierwszego kontaktu, referat wygłoszony na konferencji nt. Negocjacje w sytuacjach kryzysowych. Teoria i praktyka, zorganizowanej przez Komendanta Głównego Policji, Warszawa 25.01.2013r.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„Zagrożenia bezpieczeństwa informacyjnego państwa”. Referat wygłoszony na III Europejskim Kongresie Małych Średnich Przedsiębiorstw. Ekspert III Sesji Plenarnej „Bezpieczeństwo informacji w MŚP. Ochrona informacji niejawnych, biznesowych, danych osobowych, własności intelektualnej i przemysłowej. Biała Księga Bezpieczeństwa Narodowego”. Katowice 16-18.09.2013r.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Rola ochrony informacji w Polsce, referat wygłoszony na III Konferencji naukowej nt. „Cyberprzestępczość i ochrona informacji” zorganizowanej przez Wyższą Szkołę Menadżerską w Warszawie. 19.04.2013r.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2014</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Czy i jaki mamy parasol ochronny przy realizacji kontraktów związanych z dostępem do informacji niejawnych, zwłaszcza zabezpieczenie „kontraktów zbrojeniowych”, referat wygłoszony na Konferencji „Przeszłość, teraźniejszość i przyszłość ochrony informacji niejawnych w zapewnieniu bezpieczeństwa narodowego RP” 15 lecie ustawy o ochronie informacji niejawnych. Pułtusk 22-23.01.2014r.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„Negocjacje w sytuacjach zagrożenia” referat wygłoszony na konferencji naukowej „Negocjacje w praktyce”, Uniwersytet Warszawski. Warszawa 7.05.2014r.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VI Konferencji naukowej „Bezpieczeństwo w Internecie. Jawność i tajność a sprawność administrowania” UKSW,  Warszawa 22–23.05.2014 r. – udział w dyskusji.</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„Regulacja prawna przetwarzania danych w obszarze monitorowania, zapobiegania i wykrywania przestępstw po wyroku Trybunału Konstytucyjnego z dnia 30 lipca 2014 r. w </w:t>
            </w:r>
            <w:r>
              <w:rPr>
                <w:rFonts w:ascii="Arial" w:eastAsia="Arial" w:hAnsi="Arial" w:cs="Arial"/>
                <w:color w:val="000000"/>
                <w:sz w:val="20"/>
                <w:szCs w:val="20"/>
              </w:rPr>
              <w:lastRenderedPageBreak/>
              <w:t>sprawie billingów i podsłuchów” udział w dyskusji na konferencji naukowej zorganizowanej przez UKSW,  w dniach 22–23. 10 2014 r. w Kazimierzu Dolnym.</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 „Zadania i kompetencje organów publicznych w zakresie jawności i jej ograniczeń”, współprowadzący konferencję naukową, zorganizowaną przez UKSW. Kazimierz Dolny 23–25.10.2014r.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Nowe zagrożenia dla bezpieczeństwa państwa” referat wygłoszony na ogólnopolskiej konferencji naukowej "THE POWER OF SYNERGY. Współpraca Straży Granicznej, Centralnego Biura Śledczego oraz Agencji Bezpieczeństwa Wewnętrznego w zakresie zwalczania przestępczości transgranicznej i zorganizowanej"zorganizowanej przez Straż Graniczną, Agencję Bezpieczeństwa Wewnętrznego, Centralne Biuro Śledcze Policji, Zakopane 26-29.11.2014r.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2015</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„Zagrożenia bezpieczeństwa wewnętrznego państwa”  ogólnopolska konferencja naukowa nt. "Współczesne zagrożenia a polityka publiczna" zorganizowana przez Akademię im. Jana Długosza w Częstochowie. Częstochowa 16.06.2015r.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„Współczesne zagrożenia bezpieczeństwa międzynarodowego i wewnętrznego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 Polsce” referat wygłoszony na międzynarodowej konferencji naukowej, organizator Wyższa Szkoła Biznesu w Dąbrowie Górniczej, Katowice Airport, Katowice 18.06.2015r.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„Zagrożenia ekonomiczne bezpieczeństwa państwa” referat wygłoszony na Ogólnopolskim Szczycie Gospodarczym nt.  Państwo - gospodarka – bezpieczeństwo polskie bezpieczeństwo narodowe i gospodarcze. Lublin 28-29.09.2015r.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„Nowoczesna kryminalistyka w pracy służb specjalnych – wyniki badań” referat wygłoszony na II ogólnopolskiej konferencji naukowej "THE POWER OF SYNERGY. Współpraca Straży Granicznej, Centralnego Biura Śledczego oraz Agencji Bezpieczeństwa Wewnętrznego w zakresie zwalczania przestępczości transgranicznej</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i zorganizowanej" zorganizowanej przez Straż Graniczną, Agencję Bezpieczeństwa Wewnętrznego, Centralne Biuro Śledcze Policji, Zakopane 04-06.11.2015r. </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2016</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„Zagrożenia terrorystyczne we współczesnym świecie. Rola ABW w zwalczaniu terroryzmu” referat wygłoszony na konferencji naukowej nt. Kryminalistyczne aspekty zagrożeń terrorystycznych w kontekście pracy służb specjalnych (ABW, UOP). Wydział Prawa i Administracji UMCS Lublin 2.03.2016r.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„Nadzór nad ochroną informacji niejawnych a bezpieczeństwo państwa”, referat wygłoszony na międzynarodowej konferencji naukowej „ Instrumenty koordynacji informatyzacji administracji” UKSW, 10-13.03.2016r.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Udział w panelu nt. „Kształtowanie polityki bezpieczeństwa państwa w aktualnej sytuacji międzynarodowej” Economic Security Forum ECONSEC 2016. Polskie bezpieczeństwo narodowe i gospodarcze. Warszawa 7.04.2016r.</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lastRenderedPageBreak/>
              <w:t>„Bezpieczeństwo Polski i UEw kontekście zagrożeń terrorystycznych” referat wygłoszony na I Forum Bezpieczeństwa Społeczności Lokalnych, „Przeciwdziałanie poważnym zagrożeniom dla mieszkańców RP, funkcjonowania administracji oraz kluczowych przedsiębiorstw”, SECUREX, Poznań 27.04.2016r.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2017</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Przykłady wykorzystania systemów bezzałogowych w zapewnieniu bezpieczeństwa wewnętrznego państwa, Konferencja naukowa: Cyberbezpieczeństwo RP 2017, Centrum Naukowo-Badawczego Ochrony Przeciwpożarowej im. Józefa Tuliszkowskiego Państwowego Instytutu Badawczego w Józefowie, Józefów 2017.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III Edycja Międzynarodowego Cyklu Seminariów „Wewnętrzne i zewnętrzne bezpieczeństwo Unii Europejskiej” Strategie bezpieczeństwa: przeciwdziałanie oraz zwalczanie radykalizmu i terroryzmu we współczesnym świecie. Współorganizator. Uniwersytet Warszawski marzec 2017.</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2018</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V Seminarium „Bezpieczna Chemia”, Wystąpienie jako gość specjalny: Digitalizacja infrastruktury przemysłowej. Szanse i zagrożenia. 24 września 2018 Warszawa.</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XVII Konferencja Naukowo-Techniczna Bezpieczeństwo Instalacji Przemysłowych, Udział w debacie: Zastosowanie koncepcji Przemysłu 4.0 do bezpieczeństwa przemysłowego. 3 październik 2018.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ECONSEC 2018. Economic Security Forum. Kształtowanie polityki bezpieczeństwa państwa w aktualnej sytuacji międzynarodowej. Panelista. Warszawa 2018.</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Cyberbezpieczeństwo - charakterystyka stosowanych praktyk, wykorzystywanych technologii oraz profilu ryzyka. Referat wygłoszony na: IV Międzynarodowa Konferencja Naukowo-Techniczna SECURITECH 2018, Centralnym Ośrodku Szkolenia Służby Więziennej, Kalisz 22-23 maja 2018.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Cyberbezpieczeństwo na wybranych przykładach. Konferencja naukowa: Technologie informatyczne w tworzeniu kultury cyberprzestrzeni – elementu bezpieczeństwa cyfrowego, Dyrektor Narodowego Centrum Badań Jądrowych w Świerku, Świerk 2018. </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Międzynarodowa Konferencja Naukowa pt. Zarządzanie granicami a bezpieczeństwo i prawa człowieka: Hiszpania i Polska- państwa peryferyjne Unii Europejskiej. </w:t>
            </w:r>
            <w:r w:rsidRPr="00846CB7">
              <w:rPr>
                <w:rFonts w:ascii="Arial" w:eastAsia="Arial" w:hAnsi="Arial" w:cs="Arial"/>
                <w:color w:val="000000"/>
                <w:sz w:val="20"/>
                <w:szCs w:val="20"/>
                <w:lang w:val="en-US"/>
              </w:rPr>
              <w:t xml:space="preserve">Referat: Transgraniczny charakter cyberbezpieczeństwa. Cartagena 18 kwietnia 2018. </w:t>
            </w:r>
          </w:p>
          <w:p w:rsidR="00846CB7" w:rsidRDefault="00846CB7" w:rsidP="00762B46">
            <w:pPr>
              <w:tabs>
                <w:tab w:val="left" w:pos="1134"/>
              </w:tabs>
              <w:ind w:left="360"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1st Annual International Conference on Border Security and Transnational Crime. </w:t>
            </w:r>
            <w:r>
              <w:rPr>
                <w:rFonts w:ascii="Arial" w:eastAsia="Arial" w:hAnsi="Arial" w:cs="Arial"/>
                <w:color w:val="000000"/>
                <w:sz w:val="20"/>
                <w:szCs w:val="20"/>
              </w:rPr>
              <w:t>Referat: Borderless Cybercrime. 17-18 maja 2018 Warszawa.</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2019</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XV Jesienne Sympozjum Przemysłu Farmaceutycznego i Kosmetycznego. Panelista I Forum Cyberbezpieczeństwa 2019 podczas XXIX Forum Ekonomicznego w Krynicy Zdrój, Organizator: Ministerstwo Cyfryzacji i NASK 09.09.2019.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V Ogólnopolski Szczyt Gospodarczy OSG. Moderator panelu: Bezpieczeństwo narodowe. Europejskie Centrum Biznesu, Siedlce 2019.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Panelista debaty: Serializacja już po starcie. Łódź 29 października 2019.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Konferencja naukowa: System poszukiwań osób zaginionych – wyzwania XXI wieku. Moderator panelu. Uniwersytet Warszawski Warszawa 24 maja 2019.</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Międzynarodowa konferencja naukowa pt. Zarządzanie granicami. Referat: Migracje: Język nienawiści w cyberprzestrzeni. Ceuta 29-30 kwietnia 2019. </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2020</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XIX Konferencji Bezpieczeństwo Instalacji Przemysłowych, Referat: COVID-19 – działania biznesowe w drodze do nowego standardu, 28-30 września 2020 Szczecin</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XXVII Sympozjum Wiosenne Spotkanie Ciepłowników, Referat: Sytuacja krytyczna COVID-19 - energetyka i ciepłownictwo, 13-15 lipca 2020 Zakopane.</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VI Ogólnopolski Szczyt Gospodarczy. Moderator panelu Bezpieczeństwo narodowe. Europejskie Centrum Biznesu. Lublin 2020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COVID – 19: Kiedy test ma sens? Bezpieczne funkcjonowanie organizacji w nowej rzeczywistości. Webinar: Warsaw Genomics 30 sierpnia 2020.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Jak zarządzać firmą w kryzysie? Referat wygłoszony  na: XVII SympozjumNaukowo-Techniczne. Jesienne Sympozjum Przemysłu Farmaceutycznego i Kosmetycznego, 19-20 października 2020 Łódź. </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2021</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VII Konferencja Naukowo-Techniczna Zarządzanie Przedsiębiorstwem WOD-KAN, Referat: Jak zarządzać spółką wod-kan ?, 08 lipca 2021 Szczyrk.</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XXX Forum Ekonomiczne w Karpaczu. Panelista III Forum Cyberbezpieczeństwa podczas Organizator: Kancelaria Prezesa Rady Ministrów i NASK, 07-09.09.2021.</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Cyberbezpieczeństwo a ryzyko zarządzania w warunkach stanu epidemicznego. Referat wygłoszony na: I Radomskie Forum Audytu. Dzisiejsze wyzwania kontroli zarządczej. Wyższa Szkoła Handlowa w Radomiu i Stowarzyszenie Certyfikowanych Audytorów i Specjalistów ds. Kontroli Wewnętrznej oraz Polski Instytut Kontroli Wewnętrznej Sp. z o.o., Radom 13 października 2021.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stypendia naukowe i staże naukowe</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Universidad Nacional de Educacion a Distancia,  Madrit  2016 i 2019.</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 </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Sam Houston State University, Department of Security Studies, College of Criminal Justice USA 2020.</w:t>
            </w:r>
          </w:p>
          <w:p w:rsidR="00846CB7" w:rsidRPr="00846CB7" w:rsidRDefault="00846CB7" w:rsidP="00762B46">
            <w:pPr>
              <w:tabs>
                <w:tab w:val="left" w:pos="1134"/>
              </w:tabs>
              <w:ind w:left="720" w:right="503"/>
              <w:jc w:val="both"/>
              <w:rPr>
                <w:rFonts w:ascii="Arial" w:eastAsia="Arial" w:hAnsi="Arial" w:cs="Arial"/>
                <w:color w:val="000000"/>
                <w:sz w:val="20"/>
                <w:szCs w:val="20"/>
                <w:lang w:val="en-US"/>
              </w:rPr>
            </w:pPr>
          </w:p>
          <w:p w:rsidR="00846CB7" w:rsidRPr="00846CB7" w:rsidRDefault="00846CB7" w:rsidP="00762B46">
            <w:pPr>
              <w:tabs>
                <w:tab w:val="left" w:pos="1134"/>
              </w:tabs>
              <w:ind w:left="720" w:right="503"/>
              <w:jc w:val="both"/>
              <w:rPr>
                <w:rFonts w:ascii="Arial" w:eastAsia="Arial" w:hAnsi="Arial" w:cs="Arial"/>
                <w:color w:val="000000"/>
                <w:sz w:val="20"/>
                <w:szCs w:val="20"/>
                <w:lang w:val="en-US"/>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kolegiach redakcyjnych czasopism naukowych krajowych i zagranicznych oraz serii wydawniczych, pełnienie funkcji redaktorów naczelnych czasopism naukowych (z uwzględnieniem punktacji czasopisma na liście ministerialnej</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2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członkostwo w krajowych i międzynarodowych zespołach eksperckich</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Red Hispano Polaca de Investigación Científica (Red HisPol) – vice Prezes Zarządu</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ASIS International Chapter Poland – Prezes Zarządu.</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lastRenderedPageBreak/>
              <w:t>Członek Komitetu Sterującego Narodowego Centrum Badań i Rozwoju – powołany przez Ministra Nauki i Edukacji Narodowej.</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Członek Rady Programowej Europejskiego Centrum Biznesu – Warszawa.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Studium Obywatelskiego im. Pawła Adamowicza - członek zespołu ds. bezpieczeństwa.</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Ekspert naukowy w obszarze bezpieczeństwa. Instytut Staszica. Warszawa.</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Członek założyciel Stowarzyszenia Wspierania Bezpieczeństwa Narodowego.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Zastępca Szefa Instytutu Bezpieczeństwa Wewnętrznego WSUS w Poznaniu</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t>
            </w:r>
          </w:p>
          <w:p w:rsidR="00846CB7" w:rsidRDefault="00846CB7" w:rsidP="00762B46">
            <w:pPr>
              <w:numPr>
                <w:ilvl w:val="0"/>
                <w:numId w:val="4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nagrody i wyróżnienia za pracę naukową</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„Przyjaciel Redakcji” - tytuł nadawany przez Wydawnictwo BMP, redakcję czasopisma "Chemia Przemysłowa" osobom, które przyczyniają się do rozwoju merytorycznego magazynu i konferencji organizowanych przez BMP. Nagroda/tytuł wręczony w czasie XIX konferencji Bezpieczeństwo Instalacji Przemysłowych. Szczecin 2020 r.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4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działalność popularyzatorska (upowszechnianie wiedzy i kultury – publikacje popularnonaukowe, prelekcje, udział w przedsięwzięciach popularyzujących wiedzę i kulturę)</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Potrzebna jest edukacja w zakresie cyberzagrożeń, Instytut Staszica, Warszawa październik 2019. </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Jak zarządzać firmą w kryzysie? Cykl webcastów: Tarcza antykryzysowa. Warszawa, 19 marca 2020 r. </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Jak przeprowadzić firmę przez sytuację kryzysową? Odporność Biznesu w dobie COVID-19. Podcast z 20 marca 2020. </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Koronawirus - wyzwania dla cyberbezpieczeństwa dziś i jutro. Webinar online 23 kwietnia 2020.</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Dezinformacja wspierana przez sztuczną inteligencję szerzy się w internecie. Powstają narzędzia ułatwiające ocenę wiarygodności treści w sieci. Wywiad dla Agencja Informacyjna NEWSERIA 16 wrzesnia 2019.</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Nowe technologie i cyberbezpieczeństwo. Webinar: 5 zmian na rynku pracy okiem ekspertów. Benefit Warszawa 05.08.2020. </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Pandemia sprzyja cyberprzestępcom. Zobacz, jak się chronić przed włamaniem.  Wywiad dla Gazeta Wyborcza, 10 sierpnia 2020.</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Urzędnik pracuje na swoim. Praca zdalna na prywatnych komputerach nadal ma miejsce. Wywiad dla Gazeta Prawna, 24 luty 2021.</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COVID – 19: Kiedy test ma sens ? Bezpieczne funkcjonowanie organizacji w nowej rzeczywistości. Webinar: Warsaw Genomics 30 sierpnia 2020.</w:t>
            </w:r>
          </w:p>
          <w:p w:rsidR="00846CB7" w:rsidRDefault="00846CB7" w:rsidP="00762B46">
            <w:pPr>
              <w:numPr>
                <w:ilvl w:val="0"/>
                <w:numId w:val="2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Infrastruktura krytyczna wobec pandemii – nowe wyzwanie czy standard działania? WEBINARIUM BMP: Infrastruktura Krytyczna wobec nowych wyzwań. 6 maja 2021 Online.</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inne formy działalności naukowej</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Organizator wizyt gościnnych w roku akademickim 2018/2019 i 2019/2020 zapraszając następujące osoby:</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Marcin Ludwiszewski – Dyrektor Cybersecurity Deloitte Poland (2019, 2020)</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Jolanta Frąckiewicz – Dyrektor Departamentu Ochrony Informacji Niejawnych MSZ (2019)</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lastRenderedPageBreak/>
              <w:t>Funkcjonariusze oddziału antyterrorystycznego ABW (2017, 2018)</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Dyrektor Michał Stachyra – Zastępca Dyrektora Departamentu Współpracy Zagranicznej SG</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Jan Larecki – były oficer Wywiadu (2017)</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Piotr Sacewicz – były konsul RP w Lublana i Talinie (2016)</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Dr hab. Agnieszka Piskorz-Ryń – Katedra Prawa Administracyjnego i Samorządu Terytorialnego WPiA UKSW(2018)</w:t>
            </w:r>
          </w:p>
          <w:p w:rsidR="00846CB7" w:rsidRDefault="00846CB7" w:rsidP="00762B46">
            <w:pPr>
              <w:numPr>
                <w:ilvl w:val="0"/>
                <w:numId w:val="32"/>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Płk Krzysztof Gawęda - Dyrektor Biura Ochrony Informacji KG SG w Warszawie (2017).</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Przegląd Bezpieczeństwa Wewnętrznego  – Redaktor Naczelny od 2009 do 2012 i 2015 a od 2012 do 2016-  Zastępca Redaktora Naczelnego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Wykładowca-ekspert w zakresie bezpieczeństwa Europejskiej Akademii Dyplomacji w Warszawie – od 2007 – 2010.</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Wykładowca na Wydziale Prawa Uniwersytetu Jagiellońskiego w Krakowie – problematyka przestępczości i bezpieczeństwa państwa – 2009/2010.</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Współorganizator i wykładowca  Podyplomowych Studiów Ochrony Informacji i Danych Osobowych – Wydział Prawa Uniwersytet Kardynała Stefana Wyszyńskiego 2007-2013.</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Warsztaty Taktyczno-Medyczne, Agencja Bezpieczeństwa Wewnętrznego, Warszawa 2010.</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Współorganizator i wykładowca Podyplomowych Studiów Bezpieczeństwa Wewnętrznego – Uniwersytet Warszawski – 2008 – 2014.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Spotkanie naukowe nt. „Jak rozmawiać z terrorystą, czyli negocjacje kryzysowe”, zorganizowane we współpracy z Kołem naukowym mediacji, negocjacji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i arbitrażu WPiA Uniwersytetu Warszawskiego, Warszawa 15.04.2013r.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Wykład dla uczniów VI LO w Toruniu, specjalizacja bezpieczeństwo wewnętrzne, Agencja Bezpieczeństwa Wewnętrznego i służby specjalne RP w systemie bezpieczeństwa państwa, Toruń 24.03.2014r.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Szkolenie w zakresie dostępu do informacji publicznych dla Agencji Bezpieczeństwa Wewnętrznego w Emowie w dniu 15 grudnia 2014 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Wykład dla studentów kierunku „Bezpieczeństwo narodowe” nt. Rola i zadania Agencji Bezpieczeństwa Wewnętrznego w systemie bezpieczeństwa państwa. Akademia im. Jana Długosza w Częstochowie, Częstochowa 28.04.2015r.</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Wykład dla studentów Koła Naukowego Kryminalistyki UJ im. prof. Tadeusza Hanauska, Agencja Bezpieczeńśtwa Wewnętrznego – jak jest naprawdę. Kraków 29.10.2015r.</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846CB7" w:rsidTr="00762B46">
        <w:tc>
          <w:tcPr>
            <w:tcW w:w="9167" w:type="dxa"/>
          </w:tcPr>
          <w:p w:rsidR="00846CB7" w:rsidRDefault="00846CB7" w:rsidP="00762B46">
            <w:pPr>
              <w:numPr>
                <w:ilvl w:val="0"/>
                <w:numId w:val="34"/>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promotorstwo i recenzje prac dyplomowych, udział w komisjach podczas egzaminu dyplomowego (dane liczbowe)</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Liczba wypromowanych:</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Magistrów : 11</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Licencjatów: 67</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programów i prowadzenie nowych przedmiotów (tytuły przedmiotów)</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Organizacja i technika pracy funkcjonariuszy instytucji publicznych,</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informacji,</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Kancelarie tajne i prowadzenie dokumentacji niejawnej, </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Bezpieczeństwo zasobów cyfrowych, </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Służby specjalne we współczesnym świecie</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Metody i techniki profesjonalnego raportowania</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przemysłowe</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Koncepcje i prowadzenie polityki bezpieczeństwa państwa w dobie współczesnych zagrożeń</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Instytucje bezpieczeństwa wewnętrznego</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Zarządzanie jakością w instytucjach bezpieczeństwa wewnętrznego</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cybernetyczne,</w:t>
            </w:r>
          </w:p>
          <w:p w:rsidR="00846CB7" w:rsidRDefault="00846CB7" w:rsidP="00762B46">
            <w:pPr>
              <w:numPr>
                <w:ilvl w:val="0"/>
                <w:numId w:val="3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Ochrona informacji niejawnych i danych osobowych,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projektach dydaktycznych, pełnienie funkcji koordynatora projektów  dydaktycznych, uzyskanie grantu dydaktycznego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Członek Zespołu do spraw dyscypliny naukowej „Nauki o bezpieczeństwie” 2019 wraz z prof. dr hab. Stanisławem Sulowskim i dr hab. prof. UW Markiem Madejem.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Członek  zespołu kwalifikacyjnego do dyscypliny Nauki o bezpieczeństwie w ramach Szkoły Doktorskiej w latach:  2018/2019 i 2020/2021.</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Przygotowanie dla Dziekana WSPiSM koncepcji Pracowni Zarządzania Kryzysowego UW wraz z oprogramowaniem i wyceną oraz wizyty w centrum zarządzania kryzysowego i monitoringu Komendy Stołecznej Policji w Warszawie.</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Współorganizator Podyplomowych Studiów Bezpieczeństwa Wewnętrznego – Uniwersytet Warszawski – 2008 – 2020.</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Współorganizator Podyplomowych Studiów Ochrony Informacji i Danych Osobowych – Wydział Prawa Uniwersytet Kardynała Stefana Wyszyńskiego 2007-2020.</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Wspólnie z prof. Jolantą Itrich-Drabarek przygotowanie porozumienia o współpracy w ramach Rady Interesariuszy z Burmistrzem Dzielnicy Białołęka – praktyki i wspólne projekty z zakresu bezpieczeństwa i zarządzania kryzysowego, marzec/kwiecień 2021.</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przygotowanie raportu samooceny, przygotowanie oceny programowej kierunku, przygotowanie oceny instytucjonalnej wydziału</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Członek zespołu weryfikującego programy kształcenia na studiach I i II stopnia kierunku bezpieczeństwo wewnętrzne, od 11 marca 2016 r. do 30 czerwca 2017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kierunku lub specjalności studiów, w tym autorstwo kierunkowych efektów kształcenia</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Udział w przygotowaniu, wraz z dr hab. A. Sroką, ścieżek specjalistycznych dla studiów II stopnia na kierunku Bezpieczeństwo wewnętrzne.</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uzyskanie dodatkowych kwalifikacji, np. ukończenie studiów podyplomowych, uprawnień zawodowych</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EMBA Collegium Humanum.</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Podyplomowe Studium Administracji na Wydziale Prawa i Administracji UAM w Poznaniu. </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Podyplomowe Studium Zarządzania Jakością w Administracji. Akademia Ekonomiczna w Poznaniu.</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Podyplomowe Studium Służby Zagranicznej w Szkole Głównej Handlowej w Warszawie.</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specjalistyczne „First Responder Negotiations”, prowadzone przez FBI</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specjalistyczne „Concepts for Commanders”, prowadzone przez FBI</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specjalistyczne „Explosive Self Defence System”, prowadzone przez FBI</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zawodowe z zakresu kryminalistyki prowadzone przez Policję Meklemburgii – Pomorza Przedniego</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 zawodowe z zakresu współpracy międzynarodowej i przestępczości transgranicznej oraz kryminalistyki. Akademia Policji Federalnej Lubeka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Kurs Inspektorów Bezpieczeństwa Administratorów Systemów i Sieci teleinformatycznych.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Kurs z zakresu „Administrator Bezpieczeństwa Sieci Informatycznych”  -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Kurs z zakresu „Administrator Systemów i Sieci Teleinformatycznych”  -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Kurs w zakresie szkolenia obronnego. Akademia Obrony Narodowej.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Kurs w zakresie ochrony informacji UE, UZE i NATO.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w zakresie pozyskiwania funduszy unijnych.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Szkolenia prowadzone przez FBI w zakresie przestępczości. Warszawa. </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zawodowe „Pozafinansowe sposoby motywowania pracowników”,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zawodowe „Doskonalenie Kompetencji Kierowniczych Kadr. Zarządzanie zespołem”,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Szkolenie zawodowe „Lobbing w procesie legislacji”, 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Szkolenie zawodowe „On strategic comunicacions for POL Senior Officials” STRATCOM COE. </w:t>
            </w:r>
            <w:r>
              <w:rPr>
                <w:rFonts w:ascii="Arial" w:eastAsia="Arial" w:hAnsi="Arial" w:cs="Arial"/>
                <w:color w:val="000000"/>
                <w:sz w:val="20"/>
                <w:szCs w:val="20"/>
              </w:rPr>
              <w:t>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Kurs kandydatów na pełnomocników ochrony informacji niejawnych. </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Warszawa.</w:t>
            </w:r>
          </w:p>
          <w:p w:rsidR="00846CB7" w:rsidRDefault="00846CB7" w:rsidP="00762B46">
            <w:pPr>
              <w:numPr>
                <w:ilvl w:val="0"/>
                <w:numId w:val="38"/>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Licencja detektywa. </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opieka nad kołami naukowymi, prowadzenie nadobowiązkowych zajęć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Udział w spotkaniach Studenckiego Koła Naukowego Bezpieczeństwa Wewnętrznego UW.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W sieci terroru – jak polskie służby walczą z terroryzmem ? Warszawa 2017.</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Środki przymusu bezpośredniego w pracy służb specjalnych. Warszawa 2016.</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krajowych i międzynarodowych programach doskonalących kompetencje zawodowe związane z procesem kształcenia (staże szkoleniowe, prowadzenie zajęć)</w:t>
            </w:r>
          </w:p>
          <w:p w:rsidR="00846CB7" w:rsidRDefault="00846CB7" w:rsidP="00762B46">
            <w:pPr>
              <w:numPr>
                <w:ilvl w:val="0"/>
                <w:numId w:val="4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Warsztaty rozwijające postawy równościowe w dydaktyce akademickiej UW. Warszawa 2021. Online.</w:t>
            </w:r>
          </w:p>
          <w:p w:rsidR="00846CB7" w:rsidRDefault="00846CB7" w:rsidP="00762B46">
            <w:pPr>
              <w:numPr>
                <w:ilvl w:val="0"/>
                <w:numId w:val="4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Szkolenie z zakresu RODO. Uniwersytet Warszawski 2019.</w:t>
            </w:r>
          </w:p>
          <w:p w:rsidR="00846CB7" w:rsidRPr="00846CB7" w:rsidRDefault="00846CB7" w:rsidP="00762B46">
            <w:pPr>
              <w:numPr>
                <w:ilvl w:val="0"/>
                <w:numId w:val="40"/>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Szkolenie: Anti-Corruption Training. Warszawa 2020.</w:t>
            </w:r>
          </w:p>
          <w:p w:rsidR="00846CB7" w:rsidRDefault="00846CB7" w:rsidP="00762B46">
            <w:pPr>
              <w:numPr>
                <w:ilvl w:val="0"/>
                <w:numId w:val="40"/>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Szkolenie: Speak up for values. </w:t>
            </w:r>
            <w:r>
              <w:rPr>
                <w:rFonts w:ascii="Arial" w:eastAsia="Arial" w:hAnsi="Arial" w:cs="Arial"/>
                <w:color w:val="000000"/>
                <w:sz w:val="20"/>
                <w:szCs w:val="20"/>
              </w:rPr>
              <w:t>Warszawa 2020.</w:t>
            </w:r>
          </w:p>
          <w:p w:rsidR="00846CB7" w:rsidRDefault="00846CB7" w:rsidP="00762B46">
            <w:pPr>
              <w:numPr>
                <w:ilvl w:val="0"/>
                <w:numId w:val="40"/>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Szkolenie: Ethics for a business. </w:t>
            </w:r>
            <w:r>
              <w:rPr>
                <w:rFonts w:ascii="Arial" w:eastAsia="Arial" w:hAnsi="Arial" w:cs="Arial"/>
                <w:color w:val="000000"/>
                <w:sz w:val="20"/>
                <w:szCs w:val="20"/>
              </w:rPr>
              <w:t>Warszawa 2019.</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inż. Bartłomiej Moszoro</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doktor nauk ekonomicznych (2007); pracownik dydaktyczny Wydziału Nauk Politycznych i Studiów Międzynarodowych Uniwersytetu Warszawskiego; menedżer w NGO w kulturze i oświacie; 2007-2013 – pracownik naukowo-dydaktyczny w Katedrze Zarządzania Przedsiębiorstwami Zachodniopomorskiego Uniwersytetu Technologicznego w Szczecinie; 1996-2001 – studia na Wydziale Zarządzania na Akademii Górniczo-Hutniczej w Krakowie; szkoła średnia i podstawowa w Rosario (Argentyna).</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color w:val="000000"/>
                <w:sz w:val="20"/>
                <w:szCs w:val="20"/>
              </w:rPr>
              <w:t>Innowacje, nowoczesna organizacja, modele biznesowe, VUCA, Human-Centered design, zarządzanie ludźmi w cyfrowej i post-pandemicznej transformacji</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Tr="00762B46">
        <w:tc>
          <w:tcPr>
            <w:tcW w:w="9167" w:type="dxa"/>
          </w:tcPr>
          <w:p w:rsidR="00846CB7" w:rsidRDefault="00846CB7" w:rsidP="00762B46">
            <w:pPr>
              <w:numPr>
                <w:ilvl w:val="0"/>
                <w:numId w:val="34"/>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publikacje naukowe </w:t>
            </w:r>
          </w:p>
          <w:p w:rsidR="00846CB7" w:rsidRDefault="00846CB7" w:rsidP="00762B46">
            <w:pPr>
              <w:numPr>
                <w:ilvl w:val="0"/>
                <w:numId w:val="4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Moszoro B., Gadomska-Lila K., Rozdział w książce: „Badanie zjawisk społecznych : kluczowe metody w świetle publikacji z zakresu nauk o zarządzaniu oraz nauk o mediach”. Książka pt. "Metodologia w służbie teorii? U źródeł projektów badawczych medioznawców", Warszawa, 21–22 listopada 2013 r.</w:t>
            </w:r>
          </w:p>
          <w:p w:rsidR="00846CB7" w:rsidRPr="00846CB7" w:rsidRDefault="00846CB7" w:rsidP="00762B46">
            <w:pPr>
              <w:numPr>
                <w:ilvl w:val="0"/>
                <w:numId w:val="42"/>
              </w:numPr>
              <w:tabs>
                <w:tab w:val="left" w:pos="1134"/>
              </w:tabs>
              <w:spacing w:after="0" w:line="240" w:lineRule="auto"/>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Moszoro B., Znaczenie misji przedsiębiorstwa i jej wpływ na kompetencje przywódcze, Management and Business Administration. </w:t>
            </w:r>
            <w:r w:rsidRPr="00846CB7">
              <w:rPr>
                <w:rFonts w:ascii="Arial" w:eastAsia="Arial" w:hAnsi="Arial" w:cs="Arial"/>
                <w:color w:val="000000"/>
                <w:sz w:val="20"/>
                <w:szCs w:val="20"/>
                <w:lang w:val="en-US"/>
              </w:rPr>
              <w:t>Central Europe  (Dawniej “Master of Business Administration”) nr 2 (115) / 2012, Warszawa 2012, s. 53-62.</w:t>
            </w:r>
          </w:p>
          <w:p w:rsidR="00846CB7" w:rsidRDefault="00846CB7" w:rsidP="00762B46">
            <w:pPr>
              <w:numPr>
                <w:ilvl w:val="0"/>
                <w:numId w:val="34"/>
              </w:numPr>
              <w:spacing w:after="0" w:line="240" w:lineRule="auto"/>
              <w:rPr>
                <w:rFonts w:ascii="Arial" w:eastAsia="Arial" w:hAnsi="Arial" w:cs="Arial"/>
                <w:color w:val="000000"/>
                <w:sz w:val="20"/>
                <w:szCs w:val="20"/>
              </w:rPr>
            </w:pPr>
            <w:r>
              <w:rPr>
                <w:rFonts w:ascii="Arial" w:eastAsia="Arial" w:hAnsi="Arial" w:cs="Arial"/>
                <w:color w:val="000000"/>
                <w:sz w:val="20"/>
                <w:szCs w:val="20"/>
              </w:rPr>
              <w:t>inne formy działalności naukowej</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Opieka naukowa nad stypendystą w ramach „Programu Stypendialnego Rządu Rp im. Konstantego Kalinowskiego – Program II, od 24.05 do 15.07.2021 we współpracy ze Studium Europy Wschodniej UW.</w:t>
            </w:r>
          </w:p>
          <w:p w:rsidR="00846CB7" w:rsidRDefault="00846CB7" w:rsidP="00762B46">
            <w:pPr>
              <w:tabs>
                <w:tab w:val="left" w:pos="1134"/>
              </w:tabs>
              <w:ind w:left="720" w:right="503"/>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Doświadczenie dydaktyczne</w:t>
            </w:r>
          </w:p>
        </w:tc>
      </w:tr>
      <w:tr w:rsidR="00846CB7" w:rsidTr="00762B46">
        <w:tc>
          <w:tcPr>
            <w:tcW w:w="9167" w:type="dxa"/>
          </w:tcPr>
          <w:p w:rsidR="00846CB7" w:rsidRDefault="00846CB7" w:rsidP="00762B46">
            <w:pPr>
              <w:numPr>
                <w:ilvl w:val="0"/>
                <w:numId w:val="34"/>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promotorstwo i recenzje prac dyplomowych, udział w komisjach podczas egzaminu dyplomowego (dane liczbowe)</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Jako promotor udało się przeprowadzić do obrony 50 studentów w okresie ostatnich dwóch lat. Oto niektóre tytuły prac:</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Wpływ pandemii SARSC-CoV-2 na marketing w świecie mody</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Budowanie wizerunku firmy poprzez sponsoring na przykładzie mBanku</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Techniki wpływania na ludzi w reklamach według Roberta B. Cialdiniego na przykładzie branży kosmetycznej</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Wpływ influencerów na decyzje zakupowe branży modowej i beauty</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Reklama w e-commerce na podstawie platformy Amazon Advertising</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Reklama behawioralna - co to jest i jak to działa?</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Public relations w kreowaniu wizerunku firmy Studium przypadku Promedica24</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Kreowanie wizerunku kobiet w kampaniach reklamowych wybranych potentatów branży urodowej z uwzględnieniem social mediów</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Wykorzystanie serwisów internetowych w celach dydaktycznych. Studium przypadku witryny internetowej YouTube.</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Blog jako wizytówka firmy.</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Promocja wybranych przedsiębiorstw przewozowych w Internecie.</w:t>
            </w:r>
          </w:p>
          <w:p w:rsidR="00846CB7" w:rsidRP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SARS-CoV-2 influence on marketing in the fashion world</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Wizerunek policji przed epidemią SARS-CoV-2 oraz w trakcie jej trwania.</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Wpływ promocji wydarzeń kulturalno-rozrywkowych w mediach na decyzje spędzania czasu wolnego w Żyrardowie</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Promowanie małych firm za pomocą social mediów na przykładzie e-marketingu start- upów odzieżowych.</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Kreowanie wizerunku kobiet w reklamach telewizyjnych i internetowych</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Marketing z domieszką filantropii: analiza akcji Dzień Szpilek w mediach społecznościowych.</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Skuteczny marketing w LinkedIn - analiza branży technologicznej</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Efektywny marketing w branży instalacji fotowoltaicznych.</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Kierunki i strategie digitalizacji magazynów poradniczych, people i lifestyle na przykładach wybranych magazynów dla kobiet w Polsce</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Reklama internetowa jako instrument komunikacji marketingowej .</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Wpływ reklamy na wizerunek firmy</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Marketing w social mediach. Analiza social marketingu wybranych branż.</w:t>
            </w:r>
          </w:p>
          <w:p w:rsidR="00846CB7" w:rsidRP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lang w:val="en-US"/>
              </w:rPr>
            </w:pPr>
            <w:r>
              <w:rPr>
                <w:rFonts w:ascii="Arial" w:eastAsia="Arial" w:hAnsi="Arial" w:cs="Arial"/>
                <w:color w:val="000000"/>
                <w:sz w:val="20"/>
                <w:szCs w:val="20"/>
              </w:rPr>
              <w:t xml:space="preserve">Event marketing jako narzędzie komunikacji. </w:t>
            </w:r>
            <w:r w:rsidRPr="00846CB7">
              <w:rPr>
                <w:rFonts w:ascii="Arial" w:eastAsia="Arial" w:hAnsi="Arial" w:cs="Arial"/>
                <w:color w:val="000000"/>
                <w:sz w:val="20"/>
                <w:szCs w:val="20"/>
                <w:lang w:val="en-US"/>
              </w:rPr>
              <w:t>Studium przypadku Wings for Life World Run i Fundacji Wings for Life.</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Rola Content Marketingu w budowaniu relacji z klientem na przykładzie firmy Your KAYA</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Marketing w branży gamingowej - czyli jak gracze zdobywają świat</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Wiarygodność influencerów przez klientów w mediach społecznościowych branży beauty</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Komunikacja marketingowa seriali w mediach społecznościowych - studium przypadków</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Budowanie społeczności wokół marki na przykładzie newonce.media</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Wykorzystanie social mediów i aplikacji mobilnych przez linie lotnicze</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Innowacje w cyfrowych stacjach roboczych (DAW) a preferencje odbiorców we współczesnej muzyce popularnej</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Streamingi a przyszłość telewizji</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Porównanie języka w reklamach na przykładzie Polski i Stanów Zjednoczonych</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Media strumieniowe audio jako zagrożenie dla ich tradycyjnego odpowiednika - radia,na przykładzie Spotify i Radia ESKA Warszawa.</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Wpływ marketingu marek samochodowych na preferencje klientów z uwzględnieniem mediów społecznościowych</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Kreowanie wizerunku firmy w mediach społecznościowych na podstawie sieci komórkowej Play.</w:t>
            </w:r>
          </w:p>
          <w:p w:rsidR="00846CB7" w:rsidRP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E-commerce advertising methods based on Amazon Advertising platform</w:t>
            </w:r>
          </w:p>
          <w:p w:rsidR="00846CB7" w:rsidRDefault="00846CB7" w:rsidP="00762B46">
            <w:pPr>
              <w:numPr>
                <w:ilvl w:val="0"/>
                <w:numId w:val="43"/>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Komunikacja marketingowa w nowych mediach w branży dostawców Internetu.</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programów i prowadzenie nowych przedmiotów (tytuły przedmiotów)</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Wykłady monograficzne:</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Innovation management</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Strategie zarządzania ludźmi: motywacja</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Zarządzanie projektami</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t>Zarządzanie zasobami ludzkimi. Kapitał ludzki w firmach mediowych</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5.</w:t>
            </w:r>
            <w:r>
              <w:rPr>
                <w:rFonts w:ascii="Arial" w:eastAsia="Arial" w:hAnsi="Arial" w:cs="Arial"/>
                <w:color w:val="000000"/>
                <w:sz w:val="20"/>
                <w:szCs w:val="20"/>
              </w:rPr>
              <w:tab/>
              <w:t>Zarządzanie strategiczne mediami – studia przypadku</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Wykłady:</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Podstawy ekonomii (makroeokonomia)</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 xml:space="preserve">Ekonomia </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 xml:space="preserve">Makroekonomia </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4.</w:t>
            </w:r>
            <w:r>
              <w:rPr>
                <w:rFonts w:ascii="Arial" w:eastAsia="Arial" w:hAnsi="Arial" w:cs="Arial"/>
                <w:color w:val="000000"/>
                <w:sz w:val="20"/>
                <w:szCs w:val="20"/>
              </w:rPr>
              <w:tab/>
              <w:t>Strategie zarządzania ludźmi: motywacja</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lastRenderedPageBreak/>
              <w:t>5.</w:t>
            </w:r>
            <w:r>
              <w:rPr>
                <w:rFonts w:ascii="Arial" w:eastAsia="Arial" w:hAnsi="Arial" w:cs="Arial"/>
                <w:color w:val="000000"/>
                <w:sz w:val="20"/>
                <w:szCs w:val="20"/>
              </w:rPr>
              <w:tab/>
              <w:t>Nowoczesna organizacja i procesy zarządzania firmą mediową</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Konwersatoria:</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Konwersatorium w języku angielskim</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Nowoczesna organizacja i procesy zarządzania firmą mediową</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Zajęcia fakultatywne w języku angielskim</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Ćwiczenia:</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Ekonomia</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Zarządzanie</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3.</w:t>
            </w:r>
            <w:r>
              <w:rPr>
                <w:rFonts w:ascii="Arial" w:eastAsia="Arial" w:hAnsi="Arial" w:cs="Arial"/>
                <w:color w:val="000000"/>
                <w:sz w:val="20"/>
                <w:szCs w:val="20"/>
              </w:rPr>
              <w:tab/>
              <w:t>Nowoczesna organizacja i procesy zarządzania firmą mediową</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wprowadzenie nowatorskich metod nauczania</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Case study method: prowadzenie zajęć opartych na metodzie studium przypadku opracowanych przez Harvard Business School (autorski plan przedmiotu na 2 semestry).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Design thinking, Agile, PMI – prowadzenie szkoleń w ramach przedmiotu </w:t>
            </w:r>
            <w:r>
              <w:rPr>
                <w:rFonts w:ascii="Arial" w:eastAsia="Arial" w:hAnsi="Arial" w:cs="Arial"/>
                <w:sz w:val="20"/>
                <w:szCs w:val="20"/>
              </w:rPr>
              <w:t>Nowoczesna</w:t>
            </w:r>
            <w:r>
              <w:rPr>
                <w:rFonts w:ascii="Arial" w:eastAsia="Arial" w:hAnsi="Arial" w:cs="Arial"/>
                <w:color w:val="000000"/>
                <w:sz w:val="20"/>
                <w:szCs w:val="20"/>
              </w:rPr>
              <w:t xml:space="preserve"> organizacja, Zarządzanie projektami – zastosowanie przez studentów zasad design thinking, Agile i PMI we własnych projektach dotyczących </w:t>
            </w:r>
            <w:r>
              <w:rPr>
                <w:rFonts w:ascii="Arial" w:eastAsia="Arial" w:hAnsi="Arial" w:cs="Arial"/>
                <w:sz w:val="20"/>
                <w:szCs w:val="20"/>
              </w:rPr>
              <w:t>firm</w:t>
            </w:r>
            <w:r>
              <w:rPr>
                <w:rFonts w:ascii="Arial" w:eastAsia="Arial" w:hAnsi="Arial" w:cs="Arial"/>
                <w:color w:val="000000"/>
                <w:sz w:val="20"/>
                <w:szCs w:val="20"/>
              </w:rPr>
              <w:t xml:space="preserve"> z branży mediów (duża baza materiałów film video).</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 xml:space="preserve">Gry biznesowe – służące do obrazowania zasad mikroekonomii oraz współpracy w zespole.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prowadzenie zajęć w języku obcym (tytuły przedmiotów, konsultacje)</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Innovation management</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Business Basics in case-studies</w:t>
            </w: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p>
          <w:p w:rsidR="00846CB7" w:rsidRPr="00846CB7" w:rsidRDefault="00846CB7" w:rsidP="00762B46">
            <w:pPr>
              <w:tabs>
                <w:tab w:val="left" w:pos="1134"/>
              </w:tabs>
              <w:ind w:left="360"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ab/>
            </w:r>
          </w:p>
          <w:p w:rsidR="00846CB7" w:rsidRDefault="00846CB7" w:rsidP="00762B46">
            <w:pPr>
              <w:numPr>
                <w:ilvl w:val="0"/>
                <w:numId w:val="3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wyniki ankiet studenckich i hospitacji, np. średnia ocena punktowa zajęć lub przykładowe komentarze</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Zajęcia corocznie są bardzo wysoko oceniane. Wyróżniające komentarze w uwagach nieobowiązkowych ankiet najlepiej to pokazują. Poniżej zbiór komentarzy pochodzących z 3 różnych kursów ostatnich lat (w całości, bez żadnej selekcji):</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Pan Doktor to najbardziej zaangażowany wykładowca na całym wydziale. Zawsze punktualny, dobrze przygotowany do zajęć i co najważniejsze, prowadzący zajęcia z bardzo pozytywna energia.</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Bardzo fajne zajęcia, prowadzone w ciekawy sposób, uczące pracy w grupach</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Najlepsze podejście do studenta ze wszystkich wykładowców. Następnym plusem jest niesamowita skuteczność nauczania poprzez nowoczesne metody, dobre nastawienie i innowacyjność czyni tego wykładowcę najmilej ocenianym</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Najlepsze i najbardziej kreatywne zajęcia! Z przyjemnością na nie chodziłam.</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Prowadzący z kreatywnym podejściem do nauczania. Zawsze świetnie przygotowany do zajęć. Człowiek bardzo kulturalny i elegancki.</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Ćwiczenia zawsze rozpoczynane oraz zakończone są punktualnie. Dzięki pracy w zespołach oraz praktycznych ćwiczeniach łatwiej zapamiętać materiał przerabiany na zajęciach.</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Dobry kontakt z prowadzącym, bardzo ciekawie prowadzone ćwiczenia. Zadania wykonywane w trakcie ćwiczeń pozwalają w interesujący sposób przyswoić nowe zagadnienia i od razu przekonać się, jak funkcjonują one w praktyce, np. poprzez </w:t>
            </w:r>
            <w:r>
              <w:rPr>
                <w:rFonts w:ascii="Arial" w:eastAsia="Arial" w:hAnsi="Arial" w:cs="Arial"/>
                <w:color w:val="000000"/>
                <w:sz w:val="20"/>
                <w:szCs w:val="20"/>
              </w:rPr>
              <w:lastRenderedPageBreak/>
              <w:t>zastosowanie symulacji. Prowadzący wysyła wiele materiałów drogą mailową, dzięki czemu odpowiednio wcześniej można zaznajomić się z nowymi pojęciami. Jest to duży plus, że student nie słyszy ich pierwszy raz w życiu dopiero na lekcji, ale miał wcześniej czas poczytać o konkretnym zagadnieniu, aby podczas zajęć móc już w pełni uczestniczyć w zadaniach, wykonywać polecone prace i lepiej rozumieć przyswajany materiał.</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Zdecydowanie najciekawsze zajęcia w całym semestrze. Rozwijały nie tylko umiejętności związane z tematyką przedmiotu, ale także integrowały społeczność studencką. Zajęcia były oryginalne i wiedza zdoby</w:t>
            </w:r>
            <w:r>
              <w:rPr>
                <w:rFonts w:ascii="Arial" w:eastAsia="Arial" w:hAnsi="Arial" w:cs="Arial"/>
                <w:sz w:val="20"/>
                <w:szCs w:val="20"/>
              </w:rPr>
              <w:t>t</w:t>
            </w:r>
            <w:r>
              <w:rPr>
                <w:rFonts w:ascii="Arial" w:eastAsia="Arial" w:hAnsi="Arial" w:cs="Arial"/>
                <w:color w:val="000000"/>
                <w:sz w:val="20"/>
                <w:szCs w:val="20"/>
              </w:rPr>
              <w:t>a na zajęciach z pewnością przyda się w życiu zawodowym.</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Pan Bartłomiej Moszoro jest najbardziej sensownym nauczycielem akademickim na I roku LiAwM. Ekonomia w jego wykonaniu jest przyjazna dla studentów, zasady zaliczenia jasne, a merytoryka angażująca.</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Sposób prowadzenia zajęć przez Pana Moszoro jest </w:t>
            </w:r>
            <w:r>
              <w:rPr>
                <w:rFonts w:ascii="Arial" w:eastAsia="Arial" w:hAnsi="Arial" w:cs="Arial"/>
                <w:sz w:val="20"/>
                <w:szCs w:val="20"/>
              </w:rPr>
              <w:t>co najmniej</w:t>
            </w:r>
            <w:r>
              <w:rPr>
                <w:rFonts w:ascii="Arial" w:eastAsia="Arial" w:hAnsi="Arial" w:cs="Arial"/>
                <w:color w:val="000000"/>
                <w:sz w:val="20"/>
                <w:szCs w:val="20"/>
              </w:rPr>
              <w:t xml:space="preserve"> kontrowersyjny. Na zajęciach praktycznie wcale nie omawiamy poruszanych tematów, a wykładowca nam ich nie wyjaśnia. Całą wiedzę musimy czerpać z materiałów otrzymywanych na maila (zazwyczaj w języku obcym - angielskim). Po przygotowaniu na dany temat w domu, na zajęciach urządzane są różnego rodzaju gry i zabawy. O ile gry są jeszcze zrozumiałe, ponieważ wyjaśniają abstrakcyjne pojęcia ekonomiczne (ale nie zawsze), to "zabawy" polegającej na bieganiu z jednego końca sali na drugi nie jestem w stanie zrozumieć. Komunikacja na zajęciach jest utrudniona ze względu na fakt, że polski jest drugim językiem Pana Moszoro. Sprawia to, że czasami ciężko zrozumieć co wykładowca ma na myśli. Kontrowersyjny jest również sposób oceniania, który polega na zbieraniu punktów na zajęciach. W przypadku nieobecności nie otrzymuje się żadnych punktów z danych zajęć. Wynika z tego, że nie przysługuje nam ani jedna nieobecność bez konsekwencji.</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Uważam, że to zdecydowanie najlepsze ćwiczenia w tym semestrze. Profesor Moszoro prowadzi zajęcia niekonwencjonalnie, na zasadzie case studies, techniki,która moim zdaniem powinna być najbardziej szerzona na studiach. Ponadto zajęcia motywują do aktywności, pracy w grupach i co najważniejsze - do logicznego i samodzielnego myślenia. Uważam, że na prawdę bardzo wiele nauczyłam się nie tylko o przedmiocie ale również o samej sobie. Oby więcej zajęć tak pobudzających aktywność jak Ekonomia z profesorem Bartłomiejem Moszoro.</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Ćwiczenia z dr. Moszoro to jedne z najlepszych zajęć, w jakich brałam udział. Zaangażowany, kreatywny, przygotowany, wartościowy człowiek. Przywraca wiarę w ludzi i chęć studiowania.</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Bardzo podoba mi się pozytywne podejście prowadzącego do prowadzenia zajęć. Zawsze przesyła sporo materiałów do samodzielnego zapoznania się z nimi w domu. Na zajęciach tłumaczy wszystko do czego mamy wątpliwości. Oby więcej takich prowadzących!</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Bardzo ciekawe zajęcia!Nigdy nie ma nudy,Profesor staje na wysokości zadania jeśli chodzi o przygotowanie do zajęć i zaangażowanie. Bardzo dużo się można nauczyć,przekazuje </w:t>
            </w:r>
            <w:r>
              <w:rPr>
                <w:rFonts w:ascii="Arial" w:eastAsia="Arial" w:hAnsi="Arial" w:cs="Arial"/>
                <w:sz w:val="20"/>
                <w:szCs w:val="20"/>
              </w:rPr>
              <w:t>wiedzę</w:t>
            </w:r>
            <w:r>
              <w:rPr>
                <w:rFonts w:ascii="Arial" w:eastAsia="Arial" w:hAnsi="Arial" w:cs="Arial"/>
                <w:color w:val="000000"/>
                <w:sz w:val="20"/>
                <w:szCs w:val="20"/>
              </w:rPr>
              <w:t xml:space="preserve"> w ciekawy i kreatywny sposób!</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Były to jedne z najciekawiej prowadzonych zajęć. Widać że prowadzący był zaangażowany i zainteresowany swoim przedmiotem. Dla </w:t>
            </w:r>
            <w:r>
              <w:rPr>
                <w:rFonts w:ascii="Arial" w:eastAsia="Arial" w:hAnsi="Arial" w:cs="Arial"/>
                <w:sz w:val="20"/>
                <w:szCs w:val="20"/>
              </w:rPr>
              <w:t>urozmaicenia</w:t>
            </w:r>
            <w:r>
              <w:rPr>
                <w:rFonts w:ascii="Arial" w:eastAsia="Arial" w:hAnsi="Arial" w:cs="Arial"/>
                <w:color w:val="000000"/>
                <w:sz w:val="20"/>
                <w:szCs w:val="20"/>
              </w:rPr>
              <w:t xml:space="preserve"> prowadzone były prace w grupach, gdzie w sposób praktyczny można było zrozumieć przed zagadnienia. Każde ćwiczenia były inne i pomysłowe co sprawiało że każdy dobrze się bawił i dodatkowo uczył.</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Sposób prowadzenia ćwiczeń jest bardzo dobry. Jednakże odbywający się "wyścig szczurów" nie sprzyja atmosferze spokojnej nauki, ponieważ każdemu zależy tylko na jak najwyższej liczbie zdobytych punktów.</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Najlepszy profesor &lt;3</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Ulubione zajęcia w semestrze zimowym</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Zajęcia z Panem Moszoro to czysta przyjemność, nigdy nie ma nudy, prowadzone są w sposób bardzo przystępny dla młodych osób, angażują nas do działania i zainteresowania tematem. Oby więcej takich osób! Bardzo chciałabym jeszcze kiedyś mieć przyjemność uczestnictwa w zajęciach prowadzonych przez Pana Profesora.</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Jedne z najciekawszych zajęć zimowego semestru.</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Zajęcia prowadzone w ciekawy i kreatywny sposób, ułatwiający zrozumienie niektórych procesów. Duży stopień usystematyzowania ćwiczeń i sposobu oceniania.</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Ciekawe zajęcia, nie dało się nudzić, ale prowadzący chwilami bywał niesprawiedliwy w ocenach</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Najbardziej praktyczne </w:t>
            </w:r>
            <w:r>
              <w:rPr>
                <w:rFonts w:ascii="Arial" w:eastAsia="Arial" w:hAnsi="Arial" w:cs="Arial"/>
                <w:sz w:val="20"/>
                <w:szCs w:val="20"/>
              </w:rPr>
              <w:t>zajęcia</w:t>
            </w:r>
            <w:r>
              <w:rPr>
                <w:rFonts w:ascii="Arial" w:eastAsia="Arial" w:hAnsi="Arial" w:cs="Arial"/>
                <w:color w:val="000000"/>
                <w:sz w:val="20"/>
                <w:szCs w:val="20"/>
              </w:rPr>
              <w:t xml:space="preserve"> w </w:t>
            </w:r>
            <w:r>
              <w:rPr>
                <w:rFonts w:ascii="Arial" w:eastAsia="Arial" w:hAnsi="Arial" w:cs="Arial"/>
                <w:sz w:val="20"/>
                <w:szCs w:val="20"/>
              </w:rPr>
              <w:t>całym</w:t>
            </w:r>
            <w:r>
              <w:rPr>
                <w:rFonts w:ascii="Arial" w:eastAsia="Arial" w:hAnsi="Arial" w:cs="Arial"/>
                <w:color w:val="000000"/>
                <w:sz w:val="20"/>
                <w:szCs w:val="20"/>
              </w:rPr>
              <w:t xml:space="preserve"> I semestrze. Wykladowca posiada duza wiedze fachowa w dziedzinie ekonomii, </w:t>
            </w:r>
            <w:r>
              <w:rPr>
                <w:rFonts w:ascii="Arial" w:eastAsia="Arial" w:hAnsi="Arial" w:cs="Arial"/>
                <w:sz w:val="20"/>
                <w:szCs w:val="20"/>
              </w:rPr>
              <w:t>odwołuje</w:t>
            </w:r>
            <w:r>
              <w:rPr>
                <w:rFonts w:ascii="Arial" w:eastAsia="Arial" w:hAnsi="Arial" w:cs="Arial"/>
                <w:color w:val="000000"/>
                <w:sz w:val="20"/>
                <w:szCs w:val="20"/>
              </w:rPr>
              <w:t xml:space="preserve"> </w:t>
            </w:r>
            <w:r>
              <w:rPr>
                <w:rFonts w:ascii="Arial" w:eastAsia="Arial" w:hAnsi="Arial" w:cs="Arial"/>
                <w:sz w:val="20"/>
                <w:szCs w:val="20"/>
              </w:rPr>
              <w:t>się</w:t>
            </w:r>
            <w:r>
              <w:rPr>
                <w:rFonts w:ascii="Arial" w:eastAsia="Arial" w:hAnsi="Arial" w:cs="Arial"/>
                <w:color w:val="000000"/>
                <w:sz w:val="20"/>
                <w:szCs w:val="20"/>
              </w:rPr>
              <w:t xml:space="preserve"> do </w:t>
            </w:r>
            <w:r>
              <w:rPr>
                <w:rFonts w:ascii="Arial" w:eastAsia="Arial" w:hAnsi="Arial" w:cs="Arial"/>
                <w:sz w:val="20"/>
                <w:szCs w:val="20"/>
              </w:rPr>
              <w:t>badań</w:t>
            </w:r>
            <w:r>
              <w:rPr>
                <w:rFonts w:ascii="Arial" w:eastAsia="Arial" w:hAnsi="Arial" w:cs="Arial"/>
                <w:color w:val="000000"/>
                <w:sz w:val="20"/>
                <w:szCs w:val="20"/>
              </w:rPr>
              <w:t xml:space="preserve"> najbardziej </w:t>
            </w:r>
            <w:r>
              <w:rPr>
                <w:rFonts w:ascii="Arial" w:eastAsia="Arial" w:hAnsi="Arial" w:cs="Arial"/>
                <w:sz w:val="20"/>
                <w:szCs w:val="20"/>
              </w:rPr>
              <w:t>prestiżowych</w:t>
            </w:r>
            <w:r>
              <w:rPr>
                <w:rFonts w:ascii="Arial" w:eastAsia="Arial" w:hAnsi="Arial" w:cs="Arial"/>
                <w:color w:val="000000"/>
                <w:sz w:val="20"/>
                <w:szCs w:val="20"/>
              </w:rPr>
              <w:t xml:space="preserve"> uczelni na </w:t>
            </w:r>
            <w:r>
              <w:rPr>
                <w:rFonts w:ascii="Arial" w:eastAsia="Arial" w:hAnsi="Arial" w:cs="Arial"/>
                <w:sz w:val="20"/>
                <w:szCs w:val="20"/>
              </w:rPr>
              <w:t>świecie</w:t>
            </w:r>
            <w:r>
              <w:rPr>
                <w:rFonts w:ascii="Arial" w:eastAsia="Arial" w:hAnsi="Arial" w:cs="Arial"/>
                <w:color w:val="000000"/>
                <w:sz w:val="20"/>
                <w:szCs w:val="20"/>
              </w:rPr>
              <w:t xml:space="preserve"> (jak Harvard University). Niekonwencjonalne metody nauki </w:t>
            </w:r>
            <w:r>
              <w:rPr>
                <w:rFonts w:ascii="Arial" w:eastAsia="Arial" w:hAnsi="Arial" w:cs="Arial"/>
                <w:sz w:val="20"/>
                <w:szCs w:val="20"/>
              </w:rPr>
              <w:t>sprawiają</w:t>
            </w:r>
            <w:r>
              <w:rPr>
                <w:rFonts w:ascii="Arial" w:eastAsia="Arial" w:hAnsi="Arial" w:cs="Arial"/>
                <w:color w:val="000000"/>
                <w:sz w:val="20"/>
                <w:szCs w:val="20"/>
              </w:rPr>
              <w:t xml:space="preserve"> (model </w:t>
            </w:r>
            <w:r>
              <w:rPr>
                <w:rFonts w:ascii="Arial" w:eastAsia="Arial" w:hAnsi="Arial" w:cs="Arial"/>
                <w:sz w:val="20"/>
                <w:szCs w:val="20"/>
              </w:rPr>
              <w:t>zajęć</w:t>
            </w:r>
            <w:r>
              <w:rPr>
                <w:rFonts w:ascii="Arial" w:eastAsia="Arial" w:hAnsi="Arial" w:cs="Arial"/>
                <w:color w:val="000000"/>
                <w:sz w:val="20"/>
                <w:szCs w:val="20"/>
              </w:rPr>
              <w:t xml:space="preserve"> opartych o </w:t>
            </w:r>
            <w:r>
              <w:rPr>
                <w:rFonts w:ascii="Arial" w:eastAsia="Arial" w:hAnsi="Arial" w:cs="Arial"/>
                <w:sz w:val="20"/>
                <w:szCs w:val="20"/>
              </w:rPr>
              <w:t>rywalizację</w:t>
            </w:r>
            <w:r>
              <w:rPr>
                <w:rFonts w:ascii="Arial" w:eastAsia="Arial" w:hAnsi="Arial" w:cs="Arial"/>
                <w:color w:val="000000"/>
                <w:sz w:val="20"/>
                <w:szCs w:val="20"/>
              </w:rPr>
              <w:t xml:space="preserve"> </w:t>
            </w:r>
            <w:r>
              <w:rPr>
                <w:rFonts w:ascii="Arial" w:eastAsia="Arial" w:hAnsi="Arial" w:cs="Arial"/>
                <w:sz w:val="20"/>
                <w:szCs w:val="20"/>
              </w:rPr>
              <w:t>poszczególnych</w:t>
            </w:r>
            <w:r>
              <w:rPr>
                <w:rFonts w:ascii="Arial" w:eastAsia="Arial" w:hAnsi="Arial" w:cs="Arial"/>
                <w:color w:val="000000"/>
                <w:sz w:val="20"/>
                <w:szCs w:val="20"/>
              </w:rPr>
              <w:t xml:space="preserve"> grup), ze nie ma </w:t>
            </w:r>
            <w:r>
              <w:rPr>
                <w:rFonts w:ascii="Arial" w:eastAsia="Arial" w:hAnsi="Arial" w:cs="Arial"/>
                <w:sz w:val="20"/>
                <w:szCs w:val="20"/>
              </w:rPr>
              <w:t>się</w:t>
            </w:r>
            <w:r>
              <w:rPr>
                <w:rFonts w:ascii="Arial" w:eastAsia="Arial" w:hAnsi="Arial" w:cs="Arial"/>
                <w:color w:val="000000"/>
                <w:sz w:val="20"/>
                <w:szCs w:val="20"/>
              </w:rPr>
              <w:t xml:space="preserve"> ochoty </w:t>
            </w:r>
            <w:r>
              <w:rPr>
                <w:rFonts w:ascii="Arial" w:eastAsia="Arial" w:hAnsi="Arial" w:cs="Arial"/>
                <w:sz w:val="20"/>
                <w:szCs w:val="20"/>
              </w:rPr>
              <w:t>stracić</w:t>
            </w:r>
            <w:r>
              <w:rPr>
                <w:rFonts w:ascii="Arial" w:eastAsia="Arial" w:hAnsi="Arial" w:cs="Arial"/>
                <w:color w:val="000000"/>
                <w:sz w:val="20"/>
                <w:szCs w:val="20"/>
              </w:rPr>
              <w:t xml:space="preserve"> zadnych zajec. Kontakt z </w:t>
            </w:r>
            <w:r>
              <w:rPr>
                <w:rFonts w:ascii="Arial" w:eastAsia="Arial" w:hAnsi="Arial" w:cs="Arial"/>
                <w:sz w:val="20"/>
                <w:szCs w:val="20"/>
              </w:rPr>
              <w:t>wykładowcą</w:t>
            </w:r>
            <w:r>
              <w:rPr>
                <w:rFonts w:ascii="Arial" w:eastAsia="Arial" w:hAnsi="Arial" w:cs="Arial"/>
                <w:color w:val="000000"/>
                <w:sz w:val="20"/>
                <w:szCs w:val="20"/>
              </w:rPr>
              <w:t xml:space="preserve"> wzorowy. </w:t>
            </w:r>
            <w:r>
              <w:rPr>
                <w:rFonts w:ascii="Arial" w:eastAsia="Arial" w:hAnsi="Arial" w:cs="Arial"/>
                <w:sz w:val="20"/>
                <w:szCs w:val="20"/>
              </w:rPr>
              <w:t>Materiały</w:t>
            </w:r>
            <w:r>
              <w:rPr>
                <w:rFonts w:ascii="Arial" w:eastAsia="Arial" w:hAnsi="Arial" w:cs="Arial"/>
                <w:color w:val="000000"/>
                <w:sz w:val="20"/>
                <w:szCs w:val="20"/>
              </w:rPr>
              <w:t xml:space="preserve"> do przygotowania na </w:t>
            </w:r>
            <w:r>
              <w:rPr>
                <w:rFonts w:ascii="Arial" w:eastAsia="Arial" w:hAnsi="Arial" w:cs="Arial"/>
                <w:sz w:val="20"/>
                <w:szCs w:val="20"/>
              </w:rPr>
              <w:t>zajęcia</w:t>
            </w:r>
            <w:r>
              <w:rPr>
                <w:rFonts w:ascii="Arial" w:eastAsia="Arial" w:hAnsi="Arial" w:cs="Arial"/>
                <w:color w:val="000000"/>
                <w:sz w:val="20"/>
                <w:szCs w:val="20"/>
              </w:rPr>
              <w:t xml:space="preserve"> zawsze odpowiednio </w:t>
            </w:r>
            <w:r>
              <w:rPr>
                <w:rFonts w:ascii="Arial" w:eastAsia="Arial" w:hAnsi="Arial" w:cs="Arial"/>
                <w:sz w:val="20"/>
                <w:szCs w:val="20"/>
              </w:rPr>
              <w:t>wcześniej</w:t>
            </w:r>
            <w:r>
              <w:rPr>
                <w:rFonts w:ascii="Arial" w:eastAsia="Arial" w:hAnsi="Arial" w:cs="Arial"/>
                <w:color w:val="000000"/>
                <w:sz w:val="20"/>
                <w:szCs w:val="20"/>
              </w:rPr>
              <w:t xml:space="preserve"> na mailu. Mam </w:t>
            </w:r>
            <w:r>
              <w:rPr>
                <w:rFonts w:ascii="Arial" w:eastAsia="Arial" w:hAnsi="Arial" w:cs="Arial"/>
                <w:sz w:val="20"/>
                <w:szCs w:val="20"/>
              </w:rPr>
              <w:t>nadzieję</w:t>
            </w:r>
            <w:r>
              <w:rPr>
                <w:rFonts w:ascii="Arial" w:eastAsia="Arial" w:hAnsi="Arial" w:cs="Arial"/>
                <w:color w:val="000000"/>
                <w:sz w:val="20"/>
                <w:szCs w:val="20"/>
              </w:rPr>
              <w:t xml:space="preserve">, </w:t>
            </w:r>
            <w:r>
              <w:rPr>
                <w:rFonts w:ascii="Arial" w:eastAsia="Arial" w:hAnsi="Arial" w:cs="Arial"/>
                <w:sz w:val="20"/>
                <w:szCs w:val="20"/>
              </w:rPr>
              <w:t>że</w:t>
            </w:r>
            <w:r>
              <w:rPr>
                <w:rFonts w:ascii="Arial" w:eastAsia="Arial" w:hAnsi="Arial" w:cs="Arial"/>
                <w:color w:val="000000"/>
                <w:sz w:val="20"/>
                <w:szCs w:val="20"/>
              </w:rPr>
              <w:t xml:space="preserve"> dr </w:t>
            </w:r>
            <w:r>
              <w:rPr>
                <w:rFonts w:ascii="Arial" w:eastAsia="Arial" w:hAnsi="Arial" w:cs="Arial"/>
                <w:sz w:val="20"/>
                <w:szCs w:val="20"/>
              </w:rPr>
              <w:t>Bartłomiej</w:t>
            </w:r>
            <w:r>
              <w:rPr>
                <w:rFonts w:ascii="Arial" w:eastAsia="Arial" w:hAnsi="Arial" w:cs="Arial"/>
                <w:color w:val="000000"/>
                <w:sz w:val="20"/>
                <w:szCs w:val="20"/>
              </w:rPr>
              <w:t xml:space="preserve"> Moszoro jeszcze poprowadzi nam </w:t>
            </w:r>
            <w:r>
              <w:rPr>
                <w:rFonts w:ascii="Arial" w:eastAsia="Arial" w:hAnsi="Arial" w:cs="Arial"/>
                <w:sz w:val="20"/>
                <w:szCs w:val="20"/>
              </w:rPr>
              <w:t>zajęcia</w:t>
            </w:r>
            <w:r>
              <w:rPr>
                <w:rFonts w:ascii="Arial" w:eastAsia="Arial" w:hAnsi="Arial" w:cs="Arial"/>
                <w:color w:val="000000"/>
                <w:sz w:val="20"/>
                <w:szCs w:val="20"/>
              </w:rPr>
              <w:t xml:space="preserve"> w </w:t>
            </w:r>
            <w:r>
              <w:rPr>
                <w:rFonts w:ascii="Arial" w:eastAsia="Arial" w:hAnsi="Arial" w:cs="Arial"/>
                <w:sz w:val="20"/>
                <w:szCs w:val="20"/>
              </w:rPr>
              <w:t>przyszłości</w:t>
            </w:r>
            <w:r>
              <w:rPr>
                <w:rFonts w:ascii="Arial" w:eastAsia="Arial" w:hAnsi="Arial" w:cs="Arial"/>
                <w:color w:val="000000"/>
                <w:sz w:val="20"/>
                <w:szCs w:val="20"/>
              </w:rPr>
              <w:t>.</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Ogromne zaangażowanie prowadzącego na zajęciach, oryginalny sposób wykładania materiału, interesuje i przykuwa uwagę studentów. Super podejście.</w:t>
            </w:r>
          </w:p>
          <w:p w:rsidR="00846CB7" w:rsidRDefault="00846CB7" w:rsidP="00762B46">
            <w:pPr>
              <w:numPr>
                <w:ilvl w:val="0"/>
                <w:numId w:val="4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oby więcej tak wspaniałych ludzi z drygiem do nauczania</w:t>
            </w:r>
          </w:p>
          <w:p w:rsidR="00846CB7" w:rsidRDefault="00846CB7" w:rsidP="00762B46">
            <w:pPr>
              <w:tabs>
                <w:tab w:val="left" w:pos="1134"/>
              </w:tabs>
              <w:ind w:right="503"/>
              <w:jc w:val="both"/>
              <w:rPr>
                <w:rFonts w:ascii="Arial" w:eastAsia="Arial" w:hAnsi="Arial" w:cs="Arial"/>
                <w:color w:val="000000"/>
                <w:sz w:val="20"/>
                <w:szCs w:val="20"/>
              </w:rPr>
            </w:pP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Paweł Kuczma</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Doktor nauk humanistycznych w zakresie nauk o mediach (2016); pracownik dydaktyczny Wydziału Nauk Politycznych i Studiów Międzynarodowych Uniwersytetu Warszawskiego; w latach 2009-2021 doktorant, współpracownik, a następnie pracownik Wydziału Dziennikarstwa i Nauk Politycznych oraz Wydziału Dziennikarstwa, Informacji i Bibliologii Uniwersytetu Warszawskiego.</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Autor i współautor kilku publikacji z zakresu danych, mediów społecznościowych i marketingu internetowego. Prelegent na krajowych i międzynarodowych konferencjach naukowych i branżowych m. in. w Duesseldorfie, Mannheim, Kolonii, Lublinie, czy Warszawie. Specjalista w zakresie marketingu online. Między 2009 a 2010 r. pracownik agencji mediowej Mediacom, w latach 2011-2018 związany z grupą mediową Dentsu a od 2018 roku właściciel agencji mediowej Pure Play.</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Dane, otwarte dane, marketing, reklama online, media społecznościowe, fake newsy.</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RPr="00817C94" w:rsidTr="00762B46">
        <w:tc>
          <w:tcPr>
            <w:tcW w:w="9167" w:type="dxa"/>
          </w:tcPr>
          <w:p w:rsidR="00846CB7" w:rsidRDefault="00846CB7" w:rsidP="00762B46">
            <w:pPr>
              <w:numPr>
                <w:ilvl w:val="0"/>
                <w:numId w:val="68"/>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publikacje naukowe </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69"/>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Kuczma P., Korzekwa-Józefowicz A., Dembiński J., Broniarz M.J., Fake newsy, post prawda i dezinformacja na Youtube, Fundacja Schumana, Warszawa 2021.</w:t>
            </w:r>
          </w:p>
          <w:p w:rsidR="00846CB7" w:rsidRDefault="00846CB7" w:rsidP="00762B46">
            <w:pPr>
              <w:numPr>
                <w:ilvl w:val="0"/>
                <w:numId w:val="69"/>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Gogołek W., Kuczma P., Rafinacja informacji sieciowych na przykładzie wyborów parlamentarnych. Część 1 – Blogi, fora, analiza sentymentów, Studia Medioznawcze 2/2013 – Rafinacja informacji sieciowych na przykładzie wyborów parlamentarnych, s. 89-105. Część 2. Gazety online, Studia Medioznawcze 3/2013, s. 153-157;</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69"/>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Kuczma P., Rola narzędzi do analizowania mediów społecznościowych w marketingu społecznościowym [w:] Katarzyna Pokorna-Ignatowicz, Stanisław Jędrzejewicz, Joanna Bierówka, „Nowe media a praktyki komunikacyjne”, Kraków: Oficyna Wydawnicza AFM 2013, s 63-76.</w:t>
            </w:r>
          </w:p>
          <w:p w:rsidR="00846CB7" w:rsidRDefault="00846CB7" w:rsidP="00762B46">
            <w:pPr>
              <w:numPr>
                <w:ilvl w:val="0"/>
                <w:numId w:val="6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konferencjach, sympozjach, sesjach naukowych, seminariach</w:t>
            </w:r>
          </w:p>
          <w:p w:rsidR="00846CB7" w:rsidRDefault="00846CB7" w:rsidP="00762B46">
            <w:pPr>
              <w:tabs>
                <w:tab w:val="left" w:pos="1134"/>
              </w:tabs>
              <w:ind w:left="360" w:right="503"/>
              <w:jc w:val="both"/>
              <w:rPr>
                <w:rFonts w:ascii="Arial" w:eastAsia="Arial" w:hAnsi="Arial" w:cs="Arial"/>
                <w:color w:val="000000"/>
                <w:sz w:val="20"/>
                <w:szCs w:val="20"/>
              </w:rPr>
            </w:pPr>
          </w:p>
          <w:p w:rsidR="00846CB7" w:rsidRDefault="00846CB7" w:rsidP="00762B46">
            <w:pPr>
              <w:numPr>
                <w:ilvl w:val="0"/>
                <w:numId w:val="6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Prelegent na Międzynarodowej Konferencji General Online Research w Duesseldorfie, Mannheim i Kolonii w latach 2011, 2012, 2013, 2014</w:t>
            </w:r>
          </w:p>
          <w:p w:rsidR="00846CB7" w:rsidRDefault="00846CB7" w:rsidP="00762B46">
            <w:pPr>
              <w:numPr>
                <w:ilvl w:val="0"/>
                <w:numId w:val="67"/>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Prelegent na Konferencji Forum IAB 2012 </w:t>
            </w:r>
          </w:p>
          <w:p w:rsidR="00846CB7" w:rsidRDefault="00846CB7" w:rsidP="00762B46">
            <w:pPr>
              <w:numPr>
                <w:ilvl w:val="0"/>
                <w:numId w:val="6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członkostwo w krajowych i międzynarodowych zespołach eksperckich</w:t>
            </w:r>
          </w:p>
          <w:p w:rsidR="00846CB7" w:rsidRPr="00846CB7" w:rsidRDefault="00846CB7" w:rsidP="00762B46">
            <w:pPr>
              <w:tabs>
                <w:tab w:val="left" w:pos="1134"/>
              </w:tabs>
              <w:ind w:right="503"/>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Członek IAA (International Advertising Association) od 2020 r.</w:t>
            </w:r>
          </w:p>
          <w:p w:rsidR="00846CB7" w:rsidRPr="00846CB7" w:rsidRDefault="00846CB7" w:rsidP="00762B46">
            <w:pPr>
              <w:tabs>
                <w:tab w:val="left" w:pos="1134"/>
              </w:tabs>
              <w:ind w:right="503"/>
              <w:jc w:val="both"/>
              <w:rPr>
                <w:rFonts w:ascii="Arial" w:eastAsia="Arial" w:hAnsi="Arial" w:cs="Arial"/>
                <w:color w:val="000000"/>
                <w:sz w:val="20"/>
                <w:szCs w:val="20"/>
                <w:lang w:val="en-US"/>
              </w:rPr>
            </w:pPr>
          </w:p>
        </w:tc>
      </w:tr>
      <w:tr w:rsidR="00846CB7" w:rsidTr="00762B46">
        <w:tc>
          <w:tcPr>
            <w:tcW w:w="9167" w:type="dxa"/>
            <w:tcBorders>
              <w:bottom w:val="single" w:sz="4" w:space="0" w:color="000000"/>
            </w:tcBorders>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846CB7" w:rsidTr="00762B46">
        <w:trPr>
          <w:trHeight w:val="4194"/>
        </w:trPr>
        <w:tc>
          <w:tcPr>
            <w:tcW w:w="9167" w:type="dxa"/>
            <w:tcBorders>
              <w:bottom w:val="single" w:sz="4" w:space="0" w:color="auto"/>
            </w:tcBorders>
          </w:tcPr>
          <w:p w:rsidR="00846CB7" w:rsidRDefault="00846CB7" w:rsidP="00762B46">
            <w:pPr>
              <w:numPr>
                <w:ilvl w:val="0"/>
                <w:numId w:val="68"/>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promotorstwo i recenzje prac dyplomowych, udział w komisjach podczas egzaminu dyplomowego (dane liczbowe)</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Zakończone procesy obron:</w:t>
            </w:r>
          </w:p>
          <w:p w:rsidR="00846CB7" w:rsidRDefault="00846CB7" w:rsidP="00762B46">
            <w:pPr>
              <w:numPr>
                <w:ilvl w:val="0"/>
                <w:numId w:val="5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 21 prac licencjackich</w:t>
            </w:r>
          </w:p>
          <w:p w:rsidR="00846CB7" w:rsidRDefault="00846CB7" w:rsidP="00762B46">
            <w:pPr>
              <w:numPr>
                <w:ilvl w:val="0"/>
                <w:numId w:val="5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Recenzent: 6 prac licencjackich</w:t>
            </w:r>
          </w:p>
          <w:p w:rsidR="00846CB7" w:rsidRDefault="00846CB7" w:rsidP="00762B46">
            <w:pPr>
              <w:numPr>
                <w:ilvl w:val="0"/>
                <w:numId w:val="5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Recenzent: 3 prac magisterskich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6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przygotowanie materiałów do nauczania zdalnego, np. materiałów na platformy </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e-learningowe, nagranie filmów czy prowadzenie blogów naukowo-dydaktycznych (tytuły przedmiotów i rodzaje materiałów)</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Przygotowanie, prowadzenie i nagrywanie wykładów w trakcie nauki zdalnej.</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6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prowadzenie zajęć w ramach programów i inicjatyw międzynarodowych (np. w ramach szkoły letniej)</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Prowadzenie zajęć w ramach szkoły letniej dla studentów z Chin oraz z Polski w jezyku angielskim</w:t>
            </w: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rPr>
          <w:trHeight w:val="553"/>
        </w:trPr>
        <w:tc>
          <w:tcPr>
            <w:tcW w:w="9167" w:type="dxa"/>
            <w:tcBorders>
              <w:top w:val="single" w:sz="4" w:space="0" w:color="auto"/>
              <w:left w:val="nil"/>
              <w:bottom w:val="single" w:sz="4" w:space="0" w:color="auto"/>
              <w:right w:val="nil"/>
            </w:tcBorders>
          </w:tcPr>
          <w:p w:rsidR="00846CB7" w:rsidRDefault="00846CB7" w:rsidP="00762B46">
            <w:pPr>
              <w:tabs>
                <w:tab w:val="left" w:pos="1134"/>
              </w:tabs>
              <w:spacing w:before="120"/>
              <w:ind w:left="360" w:right="503"/>
              <w:jc w:val="both"/>
              <w:rPr>
                <w:rFonts w:ascii="Arial" w:eastAsia="Arial" w:hAnsi="Arial" w:cs="Arial"/>
                <w:color w:val="000000"/>
                <w:sz w:val="20"/>
                <w:szCs w:val="20"/>
              </w:rPr>
            </w:pPr>
          </w:p>
        </w:tc>
      </w:tr>
      <w:tr w:rsidR="00846CB7" w:rsidTr="00762B46">
        <w:tc>
          <w:tcPr>
            <w:tcW w:w="9167" w:type="dxa"/>
            <w:tcBorders>
              <w:top w:val="single" w:sz="4" w:space="0" w:color="auto"/>
            </w:tcBorders>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Agnieszka Heba</w:t>
            </w:r>
          </w:p>
        </w:tc>
      </w:tr>
      <w:tr w:rsidR="00846CB7" w:rsidTr="00762B46">
        <w:tc>
          <w:tcPr>
            <w:tcW w:w="9167" w:type="dxa"/>
          </w:tcPr>
          <w:p w:rsidR="00846CB7" w:rsidRDefault="00846CB7" w:rsidP="00762B46">
            <w:pPr>
              <w:jc w:val="both"/>
              <w:rPr>
                <w:rFonts w:ascii="Arial" w:eastAsia="Arial" w:hAnsi="Arial" w:cs="Arial"/>
                <w:sz w:val="20"/>
                <w:szCs w:val="20"/>
              </w:rPr>
            </w:pPr>
            <w:r>
              <w:rPr>
                <w:rFonts w:ascii="Arial" w:eastAsia="Arial" w:hAnsi="Arial" w:cs="Arial"/>
                <w:sz w:val="20"/>
                <w:szCs w:val="20"/>
              </w:rPr>
              <w:t xml:space="preserve">doktor nauk społecznych w zakresie nauk pedagogiki o specjalności nowoczesne technologie w edukacji (2019, nagroda III stopnia Rektora MUP Oświęcim, Microsoft Innovative Educator Expert (2021/2022)); pracownik dydaktyczny Wydziału Nauk Politycznych i Studiów Międzynarodowych Uniwersytetu Warszawskiego; 2019-2021 - pracownik dydaktyczny Wydziału Dziennikarstwa, Informacji i Bibliologii Uniwersytetu Warszawskiego. Aktualnie członek zespołu w projekcie: „Identyfikacja, kolekcjonowanie i ocena nieprzyjaznych operacji dezinformacyjnych w cyberprzestrzeni, prowadzonych w oparciu o narzędzia teleinformatyczne (IKONA)”.  Doświadczenie zawodowe zdobywała również współpracując z Ostrawskim Uniwersytetem w Ostrawie w Republice Czeskiej, Uniwersytetem Śląskim w Katowicach, Uniwersytetem Kardynała Stefana Wyszyńskiego w Warszawie. </w:t>
            </w:r>
          </w:p>
          <w:p w:rsidR="00846CB7" w:rsidRDefault="00846CB7" w:rsidP="00762B46">
            <w:pPr>
              <w:ind w:left="720"/>
              <w:jc w:val="both"/>
              <w:rPr>
                <w:rFonts w:ascii="Arial" w:eastAsia="Arial" w:hAnsi="Arial" w:cs="Arial"/>
                <w:sz w:val="20"/>
                <w:szCs w:val="20"/>
              </w:rPr>
            </w:pPr>
          </w:p>
          <w:p w:rsidR="00846CB7" w:rsidRDefault="00846CB7" w:rsidP="00762B46">
            <w:pPr>
              <w:jc w:val="both"/>
              <w:rPr>
                <w:rFonts w:ascii="Arial" w:eastAsia="Arial" w:hAnsi="Arial" w:cs="Arial"/>
                <w:sz w:val="20"/>
                <w:szCs w:val="20"/>
              </w:rPr>
            </w:pPr>
            <w:r>
              <w:rPr>
                <w:rFonts w:ascii="Arial" w:eastAsia="Arial" w:hAnsi="Arial" w:cs="Arial"/>
                <w:sz w:val="20"/>
                <w:szCs w:val="20"/>
              </w:rPr>
              <w:t xml:space="preserve">W 2019 roku uzyskała certyfikat e-nauczyciela, e-metodyka przyznany przez Stowarzyszenie E-learningu Akademickiego. </w:t>
            </w:r>
          </w:p>
          <w:p w:rsidR="00846CB7" w:rsidRDefault="00846CB7" w:rsidP="00762B46">
            <w:pPr>
              <w:ind w:left="720"/>
              <w:rPr>
                <w:rFonts w:ascii="Arial" w:eastAsia="Arial" w:hAnsi="Arial" w:cs="Arial"/>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sz w:val="20"/>
                <w:szCs w:val="20"/>
              </w:rPr>
              <w:t xml:space="preserve">Autorka publikacji </w:t>
            </w:r>
            <w:r>
              <w:rPr>
                <w:rFonts w:ascii="Arial" w:eastAsia="Arial" w:hAnsi="Arial" w:cs="Arial"/>
                <w:color w:val="000000"/>
                <w:sz w:val="20"/>
                <w:szCs w:val="20"/>
              </w:rPr>
              <w:t>z zakresu nowoczesnych technologii w edukacji, w szczególności w nauczaniu matematyki. Uczestniczka stażu w Centrum Nauczania na Odległość w Pradze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b/>
                <w:color w:val="000000"/>
                <w:sz w:val="20"/>
                <w:szCs w:val="20"/>
              </w:rPr>
              <w:lastRenderedPageBreak/>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Technologie informacyjne i komunikacyjne w edukacji, nowe media, serwisy internetowe, narzędzia komunikacji internetowej, text mining w R i Statistice, metody wizualizacji i analizy danych w R i Statistice.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Tr="00762B46">
        <w:tc>
          <w:tcPr>
            <w:tcW w:w="9167" w:type="dxa"/>
          </w:tcPr>
          <w:p w:rsidR="00846CB7" w:rsidRDefault="00846CB7" w:rsidP="00762B46">
            <w:pPr>
              <w:numPr>
                <w:ilvl w:val="0"/>
                <w:numId w:val="77"/>
              </w:numPr>
              <w:tabs>
                <w:tab w:val="left" w:pos="1134"/>
              </w:tabs>
              <w:spacing w:before="120" w:after="0" w:line="240" w:lineRule="auto"/>
              <w:ind w:right="505"/>
              <w:jc w:val="both"/>
              <w:rPr>
                <w:rFonts w:ascii="Arial" w:eastAsia="Arial" w:hAnsi="Arial" w:cs="Arial"/>
                <w:b/>
                <w:color w:val="000000"/>
                <w:sz w:val="20"/>
                <w:szCs w:val="20"/>
              </w:rPr>
            </w:pPr>
            <w:r>
              <w:rPr>
                <w:rFonts w:ascii="Arial" w:eastAsia="Arial" w:hAnsi="Arial" w:cs="Arial"/>
                <w:b/>
                <w:color w:val="000000"/>
                <w:sz w:val="20"/>
                <w:szCs w:val="20"/>
              </w:rPr>
              <w:t>publikacje w języku polskim</w:t>
            </w:r>
          </w:p>
          <w:p w:rsidR="00846CB7" w:rsidRDefault="00846CB7" w:rsidP="00762B46">
            <w:pPr>
              <w:tabs>
                <w:tab w:val="left" w:pos="1134"/>
              </w:tabs>
              <w:ind w:left="1440" w:right="505"/>
              <w:jc w:val="both"/>
              <w:rPr>
                <w:rFonts w:ascii="Arial" w:eastAsia="Arial" w:hAnsi="Arial" w:cs="Arial"/>
                <w:b/>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HEBA A. – Zbiór zadań z matematyki, Katowice 2007, Wydawnictwo Wyższej Szkoły Zarządzania Ochroną Pracy, ISBN 978-83-922186-5-4</w:t>
            </w: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 Niektóre rezultaty badań w zakresie wykorzystania edukacyjnych programów w nauczaniu matematyki w szkole ponadgimnazjalnej [in:] Współczesne dylematy pedagogiczne, Koło Naukowe Pedagogów Uniwersytet Śląski 2008, Polska, s. 21-31 ISBN 978-83-926897-0-6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 Przegląd wybranych polskich i zagranicznych programów komputerowych oraz stron internetowych wspomagających nauczanie matematyki [in:] Rola informatyki w naukach ekonomicznych i społecznych, innowacje i implikacje interdyscyplinarne, Wydawnictwo Wyższej Szkoły Handlowej, Kielce 2009, Polska, s. 13-24 ISBN 978-83-89274-35-9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 Nauczanie na odległość –wczoraj i dziś [in:] Nauczyciel i szkoła, Wydawnictwo Górnośląskiej Wyższej Szkoły Pedagogicznej w Mysłowicach, Polska, s. 145-155, ISSN 1426-9899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SMYRNOVA–TRYBULSKA E., HEBA A. – E-learning drogą do porozumiewania się w środowisku wielokulturowym, [in:] Magazyn Szkolny, Katowice 2009, s. 22-23 ISSN 1642-6703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BOWDUR E. – Technologia Informacyjna w Społeczeństwie Wiedzy [in:] Magazyn Szkolny, Katowice 2009, s. 22-23 ISSN 1642-6703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SMYRNOVA-TRYBULSKA E., HEBA A. - Sprawozdanie z konferencji na temat: Wykorzystanie e-learningu w rozwoju kluczowych kompetencji. In: Nauczyciel i szkoła. Mysłowice: Wydawnictwo Górnośląskiej Wyższej Szkoły Pedagogicznej w Mysłowicach, 2012, s. 235-241. ISSN 1426-9899</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BOWDUR E., HEBA A. - Sprawozdanie z VII Konferencji Naukowo-Metodycznej w Katowicach na temat Technologia Informacyjna w Społeczeństwie Wiedzy. In: Nauczyciel i szkoła. Mysłowice: Wydawnictwo Górnośląskiej Wyższej Szkoły Pedagogicznej w Mysłowicach, 2012, s. 233-234. ISSN 1426-9899</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SMYRNOVA-TRYBULSKA E., HEBA A. - Sprawozdanie z konferencji na temat: Wykorzystanie e-learningu dla potrzeb społecznych. In: Nauczyciel i szkoła. Mysłowice: Wydawnictwo </w:t>
            </w:r>
            <w:r>
              <w:rPr>
                <w:rFonts w:ascii="Arial" w:eastAsia="Arial" w:hAnsi="Arial" w:cs="Arial"/>
                <w:color w:val="000000"/>
                <w:sz w:val="20"/>
                <w:szCs w:val="20"/>
              </w:rPr>
              <w:lastRenderedPageBreak/>
              <w:t xml:space="preserve">Górnośląskiej Wyższej Szkoły Pedagogicznej w Mysłowicach, 2013, s. 301-306. ISSN 1426-9899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HEBA A. - O cieszyńskich konferencjach dotyczących e-learningu wywiad z profesor Eugenią Smyrnovą – Trybulską z Uniwersytetu Śląskiego oraz z nauczycielem matematyki mgr Beatą Pośpiech z Rudy Śląskiej. In: Nauczyciel i szkoła. Mysłowice: Wydawnictwo Górnośląskiej Wyższej Szkoły Pedagogicznej w Mysłowicach, 2014, s. 269-277. ISSN 1426-9899</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PAGIEŁA J. - Poprawa stanu BHP poprzez właściwie opracowany system szkoleniowy z użyciem e-learningu. In: Bezpieczeństwo pracy Zarządzanie Środowisko editor Damian Hadryś, Katowice 2015, s. 153-162, ISBN 978-83-61378-58-7 </w:t>
            </w:r>
          </w:p>
          <w:p w:rsidR="00846CB7" w:rsidRDefault="00846CB7" w:rsidP="00762B46">
            <w:pPr>
              <w:tabs>
                <w:tab w:val="left" w:pos="1134"/>
              </w:tabs>
              <w:ind w:right="505"/>
              <w:jc w:val="both"/>
              <w:rPr>
                <w:rFonts w:ascii="Arial" w:eastAsia="Arial" w:hAnsi="Arial" w:cs="Arial"/>
                <w:color w:val="000000"/>
                <w:sz w:val="20"/>
                <w:szCs w:val="20"/>
              </w:rPr>
            </w:pPr>
          </w:p>
          <w:p w:rsidR="00846CB7" w:rsidRPr="00846CB7" w:rsidRDefault="00846CB7" w:rsidP="00762B46">
            <w:pPr>
              <w:tabs>
                <w:tab w:val="left" w:pos="1134"/>
              </w:tabs>
              <w:ind w:right="505"/>
              <w:jc w:val="both"/>
              <w:rPr>
                <w:rFonts w:ascii="Arial" w:eastAsia="Arial" w:hAnsi="Arial" w:cs="Arial"/>
                <w:b/>
                <w:color w:val="000000"/>
                <w:sz w:val="20"/>
                <w:szCs w:val="20"/>
                <w:lang w:val="en-US"/>
              </w:rPr>
            </w:pPr>
            <w:r w:rsidRPr="00846CB7">
              <w:rPr>
                <w:rFonts w:ascii="Arial" w:eastAsia="Arial" w:hAnsi="Arial" w:cs="Arial"/>
                <w:b/>
                <w:color w:val="000000"/>
                <w:sz w:val="20"/>
                <w:szCs w:val="20"/>
                <w:lang w:val="en-US"/>
              </w:rPr>
              <w:t>-publikacje w języku angielskim</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 Mathematical Competences Development Using e-Learning – Research Concept [in:] Distance Learning, Simulation and Communication – Proceedings, Brno 2009, Czech Republic, s. 57-63 ISBN 978-80-7231-638-0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 Information and Communication Technologies in the Process of Developing Mathematical Competences among High School Students [in:] Theoretical and Practical Aspects of Distance Learning – Collection of Scholarly Papers, scientific editor E.Smyrnova-Trybulska, Cieszyn 2009, Visegrad Fund, Poland, s. 169–179 ISBN 978-83-925281-4-2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TKACZ. P. – From the E-Learning Experiences on the Remote Teaching Platform of the Higher School of Labour Protection Management [in:] Use of E-learning in the Training of Professionals in the Knowledge Society, scientific editor E.Smyrnova-Trybulska, Cieszyn 2010, s. 211-224, ISBN 978-83-60071-30-4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SMYRNOVA–Trybulska E. – Proprietary theoretical and methodological computer-oriented system for the development of mathematical competence of students [in:] Use of E-learning in the Developing of the Key Competences, scientific editor E.Smyrnova-Trybulska, Katowice-Cieszyn 2011, s. 65-93, ISBN 978-83-60071-39-7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HEBA A. – Mathematical Competence Development with the Use of E</w:t>
            </w:r>
            <w:r w:rsidRPr="00846CB7">
              <w:rPr>
                <w:rFonts w:ascii="Cambria Math" w:eastAsia="Cambria Math" w:hAnsi="Cambria Math" w:cs="Cambria Math"/>
                <w:color w:val="000000"/>
                <w:sz w:val="20"/>
                <w:szCs w:val="20"/>
                <w:lang w:val="en-US"/>
              </w:rPr>
              <w:t>‐</w:t>
            </w:r>
            <w:r w:rsidRPr="00846CB7">
              <w:rPr>
                <w:rFonts w:ascii="Arial" w:eastAsia="Arial" w:hAnsi="Arial" w:cs="Arial"/>
                <w:color w:val="000000"/>
                <w:sz w:val="20"/>
                <w:szCs w:val="20"/>
                <w:lang w:val="en-US"/>
              </w:rPr>
              <w:t>learning [in:] DIVAI 2012 Distance Learning in Applied Informatics – Conference Proceedings, Štúrovo 2012, Slovakia, ISBN 978</w:t>
            </w:r>
            <w:r w:rsidRPr="00846CB7">
              <w:rPr>
                <w:rFonts w:ascii="Cambria Math" w:eastAsia="Cambria Math" w:hAnsi="Cambria Math" w:cs="Cambria Math"/>
                <w:color w:val="000000"/>
                <w:sz w:val="20"/>
                <w:szCs w:val="20"/>
                <w:lang w:val="en-US"/>
              </w:rPr>
              <w:t>‐</w:t>
            </w:r>
            <w:r w:rsidRPr="00846CB7">
              <w:rPr>
                <w:rFonts w:ascii="Arial" w:eastAsia="Arial" w:hAnsi="Arial" w:cs="Arial"/>
                <w:color w:val="000000"/>
                <w:sz w:val="20"/>
                <w:szCs w:val="20"/>
                <w:lang w:val="en-US"/>
              </w:rPr>
              <w:t>80</w:t>
            </w:r>
            <w:r w:rsidRPr="00846CB7">
              <w:rPr>
                <w:rFonts w:ascii="Cambria Math" w:eastAsia="Cambria Math" w:hAnsi="Cambria Math" w:cs="Cambria Math"/>
                <w:color w:val="000000"/>
                <w:sz w:val="20"/>
                <w:szCs w:val="20"/>
                <w:lang w:val="en-US"/>
              </w:rPr>
              <w:t>‐</w:t>
            </w:r>
            <w:r w:rsidRPr="00846CB7">
              <w:rPr>
                <w:rFonts w:ascii="Arial" w:eastAsia="Arial" w:hAnsi="Arial" w:cs="Arial"/>
                <w:color w:val="000000"/>
                <w:sz w:val="20"/>
                <w:szCs w:val="20"/>
                <w:lang w:val="en-US"/>
              </w:rPr>
              <w:t>558</w:t>
            </w:r>
            <w:r w:rsidRPr="00846CB7">
              <w:rPr>
                <w:rFonts w:ascii="Cambria Math" w:eastAsia="Cambria Math" w:hAnsi="Cambria Math" w:cs="Cambria Math"/>
                <w:color w:val="000000"/>
                <w:sz w:val="20"/>
                <w:szCs w:val="20"/>
                <w:lang w:val="en-US"/>
              </w:rPr>
              <w:t>‐</w:t>
            </w:r>
            <w:r w:rsidRPr="00846CB7">
              <w:rPr>
                <w:rFonts w:ascii="Arial" w:eastAsia="Arial" w:hAnsi="Arial" w:cs="Arial"/>
                <w:color w:val="000000"/>
                <w:sz w:val="20"/>
                <w:szCs w:val="20"/>
                <w:lang w:val="en-US"/>
              </w:rPr>
              <w:t>0092</w:t>
            </w:r>
            <w:r w:rsidRPr="00846CB7">
              <w:rPr>
                <w:rFonts w:ascii="Cambria Math" w:eastAsia="Cambria Math" w:hAnsi="Cambria Math" w:cs="Cambria Math"/>
                <w:color w:val="000000"/>
                <w:sz w:val="20"/>
                <w:szCs w:val="20"/>
                <w:lang w:val="en-US"/>
              </w:rPr>
              <w:t>‐</w:t>
            </w:r>
            <w:r w:rsidRPr="00846CB7">
              <w:rPr>
                <w:rFonts w:ascii="Arial" w:eastAsia="Arial" w:hAnsi="Arial" w:cs="Arial"/>
                <w:color w:val="000000"/>
                <w:sz w:val="20"/>
                <w:szCs w:val="20"/>
                <w:lang w:val="en-US"/>
              </w:rPr>
              <w:t xml:space="preserve">9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 Development of Mathematical Competences with the Use of e-learning. In: WCCE 2013 10th IFIP World Conference on Computers in Education "Learning while we are connected", Toruń: Uniwersytet Mikołaja Kopernika, 2013, s. 233-235. ISBN 978-83-231-3095-6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KAPOUNOVÁ J., SMYRNOVA-TRYBULSKA E. - Theoretical conception and some practical results of the development of mathematical competences with use of e-learning. Int. J. </w:t>
            </w:r>
            <w:r w:rsidRPr="00846CB7">
              <w:rPr>
                <w:rFonts w:ascii="Arial" w:eastAsia="Arial" w:hAnsi="Arial" w:cs="Arial"/>
                <w:color w:val="000000"/>
                <w:sz w:val="20"/>
                <w:szCs w:val="20"/>
                <w:lang w:val="en-US"/>
              </w:rPr>
              <w:lastRenderedPageBreak/>
              <w:t xml:space="preserve">Continuing Engineering Education and Life-long Learning, 24(3/4) s. 252-268. ISSN online 1741-5055, ISSN print 1560-4624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KAPOUNOVÁ J., SMYRNOVA-TRYBULSKA E. - </w:t>
            </w:r>
            <w:r>
              <w:rPr>
                <w:rFonts w:ascii="Arial" w:eastAsia="Arial" w:hAnsi="Arial" w:cs="Arial"/>
                <w:color w:val="000000"/>
                <w:sz w:val="20"/>
                <w:szCs w:val="20"/>
              </w:rPr>
              <w:t>С</w:t>
            </w:r>
            <w:r w:rsidRPr="00846CB7">
              <w:rPr>
                <w:rFonts w:ascii="Arial" w:eastAsia="Arial" w:hAnsi="Arial" w:cs="Arial"/>
                <w:color w:val="000000"/>
                <w:sz w:val="20"/>
                <w:szCs w:val="20"/>
                <w:lang w:val="en-US"/>
              </w:rPr>
              <w:t xml:space="preserve">onception and performance of the electronic module - Matlearn as a component of the - Mathematics with Moodle system". In: </w:t>
            </w:r>
            <w:r>
              <w:rPr>
                <w:rFonts w:ascii="Arial" w:eastAsia="Arial" w:hAnsi="Arial" w:cs="Arial"/>
                <w:color w:val="000000"/>
                <w:sz w:val="20"/>
                <w:szCs w:val="20"/>
              </w:rPr>
              <w:t>ТЕЗИ</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ДОПОВІДЕЙ</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ІІ</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Міжнародної</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науково</w:t>
            </w:r>
            <w:r w:rsidRPr="00846CB7">
              <w:rPr>
                <w:rFonts w:ascii="Arial" w:eastAsia="Arial" w:hAnsi="Arial" w:cs="Arial"/>
                <w:color w:val="000000"/>
                <w:sz w:val="20"/>
                <w:szCs w:val="20"/>
                <w:lang w:val="en-US"/>
              </w:rPr>
              <w:t>-</w:t>
            </w:r>
            <w:r>
              <w:rPr>
                <w:rFonts w:ascii="Arial" w:eastAsia="Arial" w:hAnsi="Arial" w:cs="Arial"/>
                <w:color w:val="000000"/>
                <w:sz w:val="20"/>
                <w:szCs w:val="20"/>
              </w:rPr>
              <w:t>практичної</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конференції</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Інформаційні</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технології</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в</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освіті</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науці</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і</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техніці</w:t>
            </w:r>
            <w:r w:rsidRPr="00846CB7">
              <w:rPr>
                <w:rFonts w:ascii="Arial" w:eastAsia="Arial" w:hAnsi="Arial" w:cs="Arial"/>
                <w:color w:val="000000"/>
                <w:sz w:val="20"/>
                <w:szCs w:val="20"/>
                <w:lang w:val="en-US"/>
              </w:rPr>
              <w:t xml:space="preserve">“. </w:t>
            </w:r>
            <w:r>
              <w:rPr>
                <w:rFonts w:ascii="Arial" w:eastAsia="Arial" w:hAnsi="Arial" w:cs="Arial"/>
                <w:color w:val="000000"/>
                <w:sz w:val="20"/>
                <w:szCs w:val="20"/>
              </w:rPr>
              <w:t>Черкаси</w:t>
            </w:r>
            <w:r w:rsidRPr="00846CB7">
              <w:rPr>
                <w:rFonts w:ascii="Arial" w:eastAsia="Arial" w:hAnsi="Arial" w:cs="Arial"/>
                <w:color w:val="000000"/>
                <w:sz w:val="20"/>
                <w:szCs w:val="20"/>
                <w:lang w:val="en-US"/>
              </w:rPr>
              <w:t>, 2014, s. 6-11</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KAPOUNOVÁ J., SMYRNOVA-TRYBULSKA E. - System for Individual Learning of Mathematics. In: Information and Communication Technology in Education - Proceedings. Rožnov pod Radhoštěm, 2014, s. 76-86. ISBN 978-80-7464-561-7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 Training System for Occupational Health and Safety with Using E-learning. In: International Journal of Information and Communication Technologies in Education - ICTE Journal. University of Ostrava, 2017, s. 12-22. ISSN 1805 - 3726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b/>
                <w:color w:val="000000"/>
                <w:sz w:val="20"/>
                <w:szCs w:val="20"/>
                <w:lang w:val="en-US"/>
              </w:rPr>
            </w:pPr>
            <w:r w:rsidRPr="00846CB7">
              <w:rPr>
                <w:rFonts w:ascii="Arial" w:eastAsia="Arial" w:hAnsi="Arial" w:cs="Arial"/>
                <w:color w:val="000000"/>
                <w:sz w:val="20"/>
                <w:szCs w:val="20"/>
                <w:lang w:val="en-US"/>
              </w:rPr>
              <w:t xml:space="preserve">- </w:t>
            </w:r>
            <w:r w:rsidRPr="00846CB7">
              <w:rPr>
                <w:rFonts w:ascii="Arial" w:eastAsia="Arial" w:hAnsi="Arial" w:cs="Arial"/>
                <w:b/>
                <w:color w:val="000000"/>
                <w:sz w:val="20"/>
                <w:szCs w:val="20"/>
                <w:lang w:val="en-US"/>
              </w:rPr>
              <w:t>publikacje w języku czeskim</w:t>
            </w:r>
          </w:p>
          <w:p w:rsidR="00846CB7" w:rsidRPr="00846CB7" w:rsidRDefault="00846CB7" w:rsidP="00762B46">
            <w:pPr>
              <w:tabs>
                <w:tab w:val="left" w:pos="1134"/>
              </w:tabs>
              <w:ind w:right="505"/>
              <w:jc w:val="both"/>
              <w:rPr>
                <w:rFonts w:ascii="Arial" w:eastAsia="Arial" w:hAnsi="Arial" w:cs="Arial"/>
                <w:b/>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 Rozvoj matematických kompetencí s využitím e-learningu In Mezinárodní vědecká studijní konference DITECH´09. Hradec Králové. 2009 ISBN 978-80-7435-001-6 [CD-ROM] </w:t>
            </w: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 Information and Communication Technologies and E-Learning in the Opinion of Teachers and Students of Secondary Schools in Poland [in:] DIVAI 2010 Distance Learning in Applied Informatics – Conference Proceedings, Štúrovo 2010, Slovakia, ISBN 978-80-8094-691-3 </w:t>
            </w:r>
          </w:p>
          <w:p w:rsidR="00846CB7" w:rsidRPr="00846CB7" w:rsidRDefault="00846CB7" w:rsidP="00762B46">
            <w:pPr>
              <w:tabs>
                <w:tab w:val="left" w:pos="1134"/>
              </w:tabs>
              <w:ind w:left="720" w:right="505"/>
              <w:jc w:val="both"/>
              <w:rPr>
                <w:rFonts w:ascii="Arial" w:eastAsia="Arial" w:hAnsi="Arial" w:cs="Arial"/>
                <w:color w:val="000000"/>
                <w:sz w:val="20"/>
                <w:szCs w:val="20"/>
                <w:lang w:val="en-US"/>
              </w:rPr>
            </w:pPr>
          </w:p>
          <w:p w:rsidR="00846CB7" w:rsidRDefault="00846CB7" w:rsidP="00762B46">
            <w:pPr>
              <w:tabs>
                <w:tab w:val="left" w:pos="1134"/>
              </w:tabs>
              <w:ind w:right="505"/>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HEBA A. – Rozvoj matematických kompetencí s využitím e-learningu, In Information and Communication Technology in Education : Ph.D. student´s section. </w:t>
            </w:r>
            <w:r>
              <w:rPr>
                <w:rFonts w:ascii="Arial" w:eastAsia="Arial" w:hAnsi="Arial" w:cs="Arial"/>
                <w:color w:val="000000"/>
                <w:sz w:val="20"/>
                <w:szCs w:val="20"/>
              </w:rPr>
              <w:t>Ostrava: Ostravská univerzita v Ostravě, 2010. ISBN 978-80-7368-460-0. [CD-ROM]</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b/>
                <w:color w:val="000000"/>
                <w:sz w:val="20"/>
                <w:szCs w:val="20"/>
              </w:rPr>
            </w:pPr>
            <w:r>
              <w:rPr>
                <w:rFonts w:ascii="Arial" w:eastAsia="Arial" w:hAnsi="Arial" w:cs="Arial"/>
                <w:b/>
                <w:color w:val="000000"/>
                <w:sz w:val="20"/>
                <w:szCs w:val="20"/>
              </w:rPr>
              <w:t xml:space="preserve">- publikacje w innych językach </w:t>
            </w:r>
          </w:p>
          <w:p w:rsidR="00846CB7" w:rsidRDefault="00846CB7" w:rsidP="00762B46">
            <w:pPr>
              <w:tabs>
                <w:tab w:val="left" w:pos="1134"/>
              </w:tabs>
              <w:ind w:right="505"/>
              <w:jc w:val="both"/>
              <w:rPr>
                <w:rFonts w:ascii="Arial" w:eastAsia="Arial" w:hAnsi="Arial" w:cs="Arial"/>
                <w:b/>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Смирнова-Tрибульская Е., Хэба А.  – Комплексное использование нит и e-learning в формировании и развитии математических компетенций учащихся старших классов. Новые информационные технологии в образовании: Материалы международной научно-практической конференции, Екатеринбург, 13-16 марта 2012 г.// ФГАОУ ВПО «Рос. гос. проф.-пед. ун-т». Екатеринбург, 2012. 538 с., c. 291-293 </w:t>
            </w: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Хэба А., Капоунова Я., Смирнова-Tрибульская E. – Электронный модуль MatLearn как элемент учебной системы Математика с Moodle реализации индивидуализации обучения математики., [in:] Международная научно-практическая конференция „Новые информационные технологии в образовании“. Екатеринбург, 2014, s. 117-121 </w:t>
            </w: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Хэба А. – Цели и содержание общенационального онлайн-курса для родителей «безопасно здесь и там/bepiecznie tu i tam. Новые информационные технологии в образовании: Материалы международной научно-практической конференции, </w:t>
            </w:r>
            <w:r>
              <w:rPr>
                <w:rFonts w:ascii="Arial" w:eastAsia="Arial" w:hAnsi="Arial" w:cs="Arial"/>
                <w:color w:val="000000"/>
                <w:sz w:val="20"/>
                <w:szCs w:val="20"/>
              </w:rPr>
              <w:lastRenderedPageBreak/>
              <w:t xml:space="preserve">Екатеринбург, 27 февраля-3 марта 2017 г. Екатеринбург, 2017. 563 с., c. 359-363  ISBN 978-5-8295-0500-4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b/>
                <w:color w:val="000000"/>
                <w:sz w:val="20"/>
                <w:szCs w:val="20"/>
              </w:rPr>
            </w:pPr>
            <w:r>
              <w:rPr>
                <w:rFonts w:ascii="Arial" w:eastAsia="Arial" w:hAnsi="Arial" w:cs="Arial"/>
                <w:b/>
                <w:color w:val="000000"/>
                <w:sz w:val="20"/>
                <w:szCs w:val="20"/>
              </w:rPr>
              <w:t>-uczestnictwo w międzynarodowych konferencjach naukowych</w:t>
            </w:r>
          </w:p>
          <w:p w:rsidR="00846CB7" w:rsidRDefault="00846CB7" w:rsidP="00762B46">
            <w:pPr>
              <w:tabs>
                <w:tab w:val="left" w:pos="1134"/>
              </w:tabs>
              <w:ind w:right="505"/>
              <w:jc w:val="both"/>
              <w:rPr>
                <w:rFonts w:ascii="Arial" w:eastAsia="Arial" w:hAnsi="Arial" w:cs="Arial"/>
                <w:b/>
                <w:color w:val="000000"/>
                <w:sz w:val="20"/>
                <w:szCs w:val="20"/>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Pr>
                <w:rFonts w:ascii="Arial" w:eastAsia="Arial" w:hAnsi="Arial" w:cs="Arial"/>
                <w:color w:val="000000"/>
                <w:sz w:val="20"/>
                <w:szCs w:val="20"/>
              </w:rPr>
              <w:t xml:space="preserve">HEBA A. (2009). </w:t>
            </w:r>
            <w:r w:rsidRPr="00846CB7">
              <w:rPr>
                <w:rFonts w:ascii="Arial" w:eastAsia="Arial" w:hAnsi="Arial" w:cs="Arial"/>
                <w:color w:val="000000"/>
                <w:sz w:val="20"/>
                <w:szCs w:val="20"/>
                <w:lang w:val="en-US"/>
              </w:rPr>
              <w:t xml:space="preserve">Mathematical Competences Development Using e-Learning – Research Concept. Brno. Republika Czeska. University of Defence. International Conference Distance Learning, Simulation and Communication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(2009). Information and Communication Technologies in the Process of Developing Mathematical Competences among High School Students. Cieszyn. Polska. Uniwersytet Śląski. The International Science Conference Theoretical and Practical Aspects of Distance Learning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HEBA A.  (2009). Rozvoj matematických kompetencí s využitím e-Learningu. Hradec Králové. Republika Czeska. Pedagogická fakulta Univerzity Hradec Králové. Mezinárodní studentská vědecká konference. Společný seminář 2. studijní rok</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(2010). Information and Communication Technologies and e-Learning in the Opinion of Teachers and Students of Secondary Schools in Poland. Štúrovo. Slovakia. International Science Conference DIVAI 2010 Distance Learning in Applied Informatics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(2010). Rozvoj matematických kompetencí s využitím e-learningu. Rožnov. </w:t>
            </w:r>
            <w:r>
              <w:rPr>
                <w:rFonts w:ascii="Arial" w:eastAsia="Arial" w:hAnsi="Arial" w:cs="Arial"/>
                <w:color w:val="000000"/>
                <w:sz w:val="20"/>
                <w:szCs w:val="20"/>
              </w:rPr>
              <w:t xml:space="preserve">Republika Czeska. Mezinárodní konference Informační a komunikační technologie ve vzdělávání. </w:t>
            </w:r>
            <w:r w:rsidRPr="00846CB7">
              <w:rPr>
                <w:rFonts w:ascii="Arial" w:eastAsia="Arial" w:hAnsi="Arial" w:cs="Arial"/>
                <w:color w:val="000000"/>
                <w:sz w:val="20"/>
                <w:szCs w:val="20"/>
                <w:lang w:val="en-US"/>
              </w:rPr>
              <w:t>Společný seminář 3. studijní rok</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HEBA A., TKACZ P. (2010). From the E-Learning Experiences on the Remote Teaching Platform of the Higher School of Labour Protection Management. Cieszyn. Polska. Uniwersytet Śląski. The International Science Conference Use of E-learning in the Training of Professionals in the Knowledge Society</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Pr>
                <w:rFonts w:ascii="Arial" w:eastAsia="Arial" w:hAnsi="Arial" w:cs="Arial"/>
                <w:color w:val="000000"/>
                <w:sz w:val="20"/>
                <w:szCs w:val="20"/>
              </w:rPr>
              <w:t xml:space="preserve">SMYRNOVA-TRYBULSKA E., HEBA A. (2011). </w:t>
            </w:r>
            <w:r w:rsidRPr="00846CB7">
              <w:rPr>
                <w:rFonts w:ascii="Arial" w:eastAsia="Arial" w:hAnsi="Arial" w:cs="Arial"/>
                <w:color w:val="000000"/>
                <w:sz w:val="20"/>
                <w:szCs w:val="20"/>
                <w:lang w:val="en-US"/>
              </w:rPr>
              <w:t xml:space="preserve">Properiaty theoretical and methodological computer-oriented system for the development of mathematical competence of students. Cieszyn. Polska. Uniwersytet Śląski. The International Science Conference Use of E-learning in the Developing of the Key Competences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HEBA A. (2012). Mathematical Competence Development with the Use of E</w:t>
            </w:r>
            <w:r w:rsidRPr="00846CB7">
              <w:rPr>
                <w:rFonts w:ascii="Cambria Math" w:eastAsia="Cambria Math" w:hAnsi="Cambria Math" w:cs="Cambria Math"/>
                <w:color w:val="000000"/>
                <w:sz w:val="20"/>
                <w:szCs w:val="20"/>
                <w:lang w:val="en-US"/>
              </w:rPr>
              <w:t>‐</w:t>
            </w:r>
            <w:r w:rsidRPr="00846CB7">
              <w:rPr>
                <w:rFonts w:ascii="Arial" w:eastAsia="Arial" w:hAnsi="Arial" w:cs="Arial"/>
                <w:color w:val="000000"/>
                <w:sz w:val="20"/>
                <w:szCs w:val="20"/>
                <w:lang w:val="en-US"/>
              </w:rPr>
              <w:t xml:space="preserve">learning. Štúrovo. Slovakia. International Science Conference DIVAI 2012 Distance Learning in Applied Informatics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HEBA A. (2013). Theoretical Conception and Some Practical Results od the Development of Mathematical Competences With Use of E-learning. The International Science Conference E-learning and Lifelong Learning. Cieszyn. Uniwersytet Śląski. Polska</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Default="00846CB7" w:rsidP="00762B46">
            <w:pPr>
              <w:tabs>
                <w:tab w:val="left" w:pos="1134"/>
              </w:tabs>
              <w:ind w:right="505"/>
              <w:jc w:val="both"/>
              <w:rPr>
                <w:rFonts w:ascii="Arial" w:eastAsia="Arial" w:hAnsi="Arial" w:cs="Arial"/>
                <w:color w:val="000000"/>
                <w:sz w:val="20"/>
                <w:szCs w:val="20"/>
              </w:rPr>
            </w:pPr>
            <w:r w:rsidRPr="00846CB7">
              <w:rPr>
                <w:rFonts w:ascii="Arial" w:eastAsia="Arial" w:hAnsi="Arial" w:cs="Arial"/>
                <w:color w:val="000000"/>
                <w:sz w:val="20"/>
                <w:szCs w:val="20"/>
                <w:lang w:val="en-US"/>
              </w:rPr>
              <w:lastRenderedPageBreak/>
              <w:t xml:space="preserve">HEBA A. (2013). The E-teacher Certificate – experiences/reflections of the examiner. The International Science Conference E-learning and Lifelong Learning. Cieszyn. </w:t>
            </w:r>
            <w:r>
              <w:rPr>
                <w:rFonts w:ascii="Arial" w:eastAsia="Arial" w:hAnsi="Arial" w:cs="Arial"/>
                <w:color w:val="000000"/>
                <w:sz w:val="20"/>
                <w:szCs w:val="20"/>
              </w:rPr>
              <w:t>Uniwersytet Śląski. Polska</w:t>
            </w:r>
          </w:p>
          <w:p w:rsidR="00846CB7" w:rsidRDefault="00846CB7" w:rsidP="00762B46">
            <w:pPr>
              <w:tabs>
                <w:tab w:val="left" w:pos="1134"/>
              </w:tabs>
              <w:ind w:right="505"/>
              <w:jc w:val="both"/>
              <w:rPr>
                <w:rFonts w:ascii="Arial" w:eastAsia="Arial" w:hAnsi="Arial" w:cs="Arial"/>
                <w:color w:val="000000"/>
                <w:sz w:val="20"/>
                <w:szCs w:val="20"/>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Pr>
                <w:rFonts w:ascii="Arial" w:eastAsia="Arial" w:hAnsi="Arial" w:cs="Arial"/>
                <w:color w:val="000000"/>
                <w:sz w:val="20"/>
                <w:szCs w:val="20"/>
              </w:rPr>
              <w:t xml:space="preserve">HEBA A. (2013). Prowadzenie sesji nauczycielskiej. The International Science Conference E-learning and Lifelong Learning. Cieszyn. Uniwersytet Śląski. </w:t>
            </w:r>
            <w:r w:rsidRPr="00846CB7">
              <w:rPr>
                <w:rFonts w:ascii="Arial" w:eastAsia="Arial" w:hAnsi="Arial" w:cs="Arial"/>
                <w:color w:val="000000"/>
                <w:sz w:val="20"/>
                <w:szCs w:val="20"/>
                <w:lang w:val="en-US"/>
              </w:rPr>
              <w:t>Polska</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(2014). System for Individual Learning of Mathematics. The International Science Conference Information and Communication Technologies in Education. Rožnov pod Radhoštěm. University of Ostrava. Czech Republic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HEBA A. (2014). Theoretical Concept, Design, Development and Implementation of the System for Individual Mathematics Learning. The International Science Conference E-learning and Intercultural Competences Development in Different Countries. Cieszyn. Uniwersytet Śląski. Polska</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HEBA A. (2014). Prowadzenie sesji nauczycielskiej na temat: Modern methods of teaching, using multimedia application, e-learning platforms and other ICT tools in a school practice. The International Science Conference. E-learning and Intercultural Competences Development in Different Countries. Cieszyn. Uniwersytet Śląski. Polska</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 xml:space="preserve">HEBA A. (2015). The Use of E-Learning to Improve the Efficiency of Training on Safety and Health at Work - Safety, Cieszyn. Polska. Uniwersytet Śląski. The International Science Conference IT tools - Good Practice of Effective Use in Education. /12. 10.–13. 10. 2015/ </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Default="00846CB7" w:rsidP="00762B46">
            <w:pPr>
              <w:tabs>
                <w:tab w:val="left" w:pos="1134"/>
              </w:tabs>
              <w:ind w:right="505"/>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HEBA A. (2015). Prowadzenie sesji konferencyjnej skierowanej do nauczycieli - Modern methods of teaching, using multimedia application, e-learning platforms and other ICT tools in a school practice, Cieszyn. Polska. Uniwersytet Śląski. The International Science IT tools - Good Practice of Effective Use in Education /12. </w:t>
            </w:r>
            <w:r>
              <w:rPr>
                <w:rFonts w:ascii="Arial" w:eastAsia="Arial" w:hAnsi="Arial" w:cs="Arial"/>
                <w:color w:val="000000"/>
                <w:sz w:val="20"/>
                <w:szCs w:val="20"/>
              </w:rPr>
              <w:t>10.–13. 10. 2015/</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b/>
                <w:color w:val="000000"/>
                <w:sz w:val="20"/>
                <w:szCs w:val="20"/>
              </w:rPr>
            </w:pPr>
            <w:r>
              <w:rPr>
                <w:rFonts w:ascii="Arial" w:eastAsia="Arial" w:hAnsi="Arial" w:cs="Arial"/>
                <w:b/>
                <w:color w:val="000000"/>
                <w:sz w:val="20"/>
                <w:szCs w:val="20"/>
              </w:rPr>
              <w:t>-udział w konferencjach krajowych naukowych</w:t>
            </w:r>
          </w:p>
          <w:p w:rsidR="00846CB7" w:rsidRDefault="00846CB7" w:rsidP="00762B46">
            <w:pPr>
              <w:tabs>
                <w:tab w:val="left" w:pos="1134"/>
              </w:tabs>
              <w:ind w:right="505"/>
              <w:jc w:val="both"/>
              <w:rPr>
                <w:rFonts w:ascii="Arial" w:eastAsia="Arial" w:hAnsi="Arial" w:cs="Arial"/>
                <w:b/>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SMYRNOVA-TRYBULSKA E., HEBA A. (2011). E-learning w kształtowaniu kompetencji matematycznych uczniów. Warszawa. Polska, Uniwersytet Warszawski. Uniwersytet Wirtualny, model, narzędzia, praktyka</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(2011). Moodle na matmie i nie tylko… Katowice. Polska. Wyższa Szkoła Bankowości i Finansów. VII Konferencja Naukowo-Metodyczna im. dr Janusza Trawki organizowana przez Stowarzyszenie Komputer i Sprawy Szkoły "KISS". Technologia Informacyjna w Społeczeństwie Wiedzy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(2012). Przykłady wykorzystania e-learningu w nauczaniu. Katowice. Polska. Wyższa Szkoła Techniczna. VIII Konferencja Naukowo-Metodyczna im. dr Janusza Trawki organizowana </w:t>
            </w:r>
            <w:r>
              <w:rPr>
                <w:rFonts w:ascii="Arial" w:eastAsia="Arial" w:hAnsi="Arial" w:cs="Arial"/>
                <w:color w:val="000000"/>
                <w:sz w:val="20"/>
                <w:szCs w:val="20"/>
              </w:rPr>
              <w:lastRenderedPageBreak/>
              <w:t xml:space="preserve">przez Stowarzyszenie Komputer i Sprawy Szkoły "KISS". Technologia Informacyjna w Społeczeństwie Wiedzy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HEBA A. (2014). Jak napisać dobry scenariusz kursu e-learningowego? Katowice. Polska. Wyższa Szkoła Techniczna. X Konferencja Naukowo - Metodyczna im. dr Janusza Trawki organizowana przez Stowarzyszenie Komputer i Sprawy Szkoły "KISS". Technologia Informacyjna w Społeczeństwie Wiedzy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udział w projektach międzynarodowych i krajowych</w:t>
            </w:r>
            <w:r>
              <w:rPr>
                <w:rFonts w:ascii="Arial" w:eastAsia="Arial" w:hAnsi="Arial" w:cs="Arial"/>
                <w:color w:val="000000"/>
                <w:sz w:val="20"/>
                <w:szCs w:val="20"/>
              </w:rPr>
              <w:t xml:space="preserve"> </w:t>
            </w:r>
          </w:p>
          <w:p w:rsidR="00846CB7" w:rsidRDefault="00846CB7" w:rsidP="00762B46">
            <w:pPr>
              <w:tabs>
                <w:tab w:val="left" w:pos="1134"/>
              </w:tabs>
              <w:ind w:right="505"/>
              <w:jc w:val="both"/>
              <w:rPr>
                <w:rFonts w:ascii="Arial" w:eastAsia="Arial" w:hAnsi="Arial" w:cs="Arial"/>
                <w:color w:val="000000"/>
                <w:sz w:val="20"/>
                <w:szCs w:val="20"/>
              </w:rPr>
            </w:pP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1.08.2009 – 31.01.2010 “E-learning – as a Road to the Communication in a Multicultural Environment” (No.10920089)University of Silesia in Katowice (Poland), Faculty of Ethnology and Sciences of Education in Cieszyn – Coordinator University of Ostrava (Czech Republic) - partner, Matej Bel University in Banská Bystrica (Slovak Republic) - partner, International Visegrad Fund – financial support</w:t>
            </w: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2010 Uniwersytet Śląski w Cieszynie, E-learning - priorytetowym narzędziem w doskonaleniu kompetencji informatycznych nauczycieli (POKL 9.4/027/2010)</w:t>
            </w: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2009-2012 Wyższa Szkoła Zarządzania Ochroną Pracy w Katowicach, „Wdrożenie Strategii Rozwoju Wyższej Szkoły Zarządzania Ochroną Pracy w Katowicach”. Zajęcia wyrównawcze z matematyki</w:t>
            </w: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15–23.09.2014 Projekt współfinansowany przez Unię Europejską w ramach środków Europejskiego Funduszu Społecznego „WSZOP-rozwój ze znakiem jakości - staż w Narodowym Centrum Nauczania na Odległość w Pradze</w:t>
            </w: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09.2014 - 10.2014 Projekt dofinansowany przez Fundusz Wyszehradzki - International Visegrad Fund’s Small grant program (No. 11420137) w ramach którego powstała publikacja Information and Communication Technologies in Education Overview in Visegrad countries a w niej rozdział Agnieszka Heba, Jana Kapounová, Eugenia Smyrnova-Trybulska Mathematics and eLearning or how to work with students before exam</w:t>
            </w:r>
          </w:p>
          <w:p w:rsidR="00846CB7" w:rsidRPr="00846CB7" w:rsidRDefault="00846CB7" w:rsidP="00762B46">
            <w:pPr>
              <w:tabs>
                <w:tab w:val="left" w:pos="1134"/>
              </w:tabs>
              <w:ind w:right="505"/>
              <w:jc w:val="both"/>
              <w:rPr>
                <w:rFonts w:ascii="Arial" w:eastAsia="Arial" w:hAnsi="Arial" w:cs="Arial"/>
                <w:color w:val="000000"/>
                <w:sz w:val="20"/>
                <w:szCs w:val="20"/>
                <w:lang w:val="en-US"/>
              </w:rPr>
            </w:pPr>
            <w:r w:rsidRPr="00846CB7">
              <w:rPr>
                <w:rFonts w:ascii="Arial" w:eastAsia="Arial" w:hAnsi="Arial" w:cs="Arial"/>
                <w:color w:val="000000"/>
                <w:sz w:val="20"/>
                <w:szCs w:val="20"/>
                <w:lang w:val="en-US"/>
              </w:rPr>
              <w:t>05.2016 Seminar in the Erasmus+ Programme, organized in Poland from 2/5/2016 – 8/5/2016, with code number “2015-1-EL01-KA102-013764” and title “Virtual Laboratories – Creation e-learning course and 3D technology’’. – prowadzenie seminarium w języku angielskim z zakresu e-learningu w języku greckim dla 12 nauczycieli z Grecji</w:t>
            </w:r>
          </w:p>
          <w:p w:rsidR="00846CB7" w:rsidRPr="00846CB7" w:rsidRDefault="00846CB7" w:rsidP="00762B46">
            <w:pPr>
              <w:tabs>
                <w:tab w:val="left" w:pos="1134"/>
              </w:tabs>
              <w:ind w:right="505"/>
              <w:jc w:val="both"/>
              <w:rPr>
                <w:rFonts w:ascii="Arial" w:eastAsia="Arial" w:hAnsi="Arial" w:cs="Arial"/>
                <w:color w:val="000000"/>
                <w:sz w:val="20"/>
                <w:szCs w:val="20"/>
                <w:lang w:val="en-US"/>
              </w:rPr>
            </w:pPr>
          </w:p>
          <w:p w:rsidR="00846CB7" w:rsidRDefault="00846CB7" w:rsidP="00762B46">
            <w:pPr>
              <w:numPr>
                <w:ilvl w:val="0"/>
                <w:numId w:val="68"/>
              </w:numPr>
              <w:tabs>
                <w:tab w:val="left" w:pos="1134"/>
              </w:tabs>
              <w:spacing w:after="0" w:line="240" w:lineRule="auto"/>
              <w:ind w:right="503"/>
              <w:jc w:val="both"/>
              <w:rPr>
                <w:rFonts w:ascii="Arial" w:eastAsia="Arial" w:hAnsi="Arial" w:cs="Arial"/>
                <w:b/>
                <w:color w:val="000000"/>
                <w:sz w:val="20"/>
                <w:szCs w:val="20"/>
              </w:rPr>
            </w:pPr>
            <w:r>
              <w:rPr>
                <w:rFonts w:ascii="Arial" w:eastAsia="Arial" w:hAnsi="Arial" w:cs="Arial"/>
                <w:b/>
                <w:color w:val="000000"/>
                <w:sz w:val="20"/>
                <w:szCs w:val="20"/>
              </w:rPr>
              <w:t>działalność innowacyjna i praktyczne efekty badań (z wyszczególnieniem kwoty środków finansowych pozyskanych dla Uniwersytetu Warszawskiego)</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realizacji projektu: Identyfikacja, Kolekcjonowanie i ocena nieprzyjaznych operacji dezinformacyjnych w cyberprzestrzeni, prowadzone w oparciu o narzędzia teleinformatyczne (IKONA) Cybersecident/489281/IV/NCBR/2021 – Konsorcjum CRI-UW (6,6 mln)</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846CB7" w:rsidTr="00762B46">
        <w:tc>
          <w:tcPr>
            <w:tcW w:w="9167" w:type="dxa"/>
          </w:tcPr>
          <w:p w:rsidR="00846CB7" w:rsidRDefault="00846CB7" w:rsidP="00762B46">
            <w:pPr>
              <w:numPr>
                <w:ilvl w:val="0"/>
                <w:numId w:val="77"/>
              </w:numPr>
              <w:tabs>
                <w:tab w:val="left" w:pos="1134"/>
              </w:tabs>
              <w:spacing w:before="120" w:after="0" w:line="240" w:lineRule="auto"/>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promotorstwo i recenzje prac dyplomowych, udział w komisjach podczas egzaminu dyplomowego (dane liczbowe)</w:t>
            </w:r>
          </w:p>
          <w:p w:rsidR="00846CB7" w:rsidRDefault="00846CB7" w:rsidP="00762B46">
            <w:pPr>
              <w:tabs>
                <w:tab w:val="left" w:pos="1134"/>
              </w:tabs>
              <w:ind w:left="720" w:right="505"/>
              <w:jc w:val="both"/>
              <w:rPr>
                <w:rFonts w:ascii="Arial" w:eastAsia="Arial" w:hAnsi="Arial" w:cs="Arial"/>
                <w:color w:val="000000"/>
                <w:sz w:val="20"/>
                <w:szCs w:val="20"/>
              </w:rPr>
            </w:pPr>
            <w:r>
              <w:rPr>
                <w:rFonts w:ascii="Arial" w:eastAsia="Arial" w:hAnsi="Arial" w:cs="Arial"/>
                <w:color w:val="000000"/>
                <w:sz w:val="20"/>
                <w:szCs w:val="20"/>
              </w:rPr>
              <w:t>Liczba wypromowanych prac licencjackich (dane za lata 2019-2021) - 9</w:t>
            </w:r>
          </w:p>
          <w:p w:rsidR="00846CB7" w:rsidRDefault="00846CB7" w:rsidP="00762B46">
            <w:pPr>
              <w:tabs>
                <w:tab w:val="left" w:pos="1134"/>
              </w:tabs>
              <w:ind w:left="720" w:right="505"/>
              <w:jc w:val="both"/>
              <w:rPr>
                <w:rFonts w:ascii="Arial" w:eastAsia="Arial" w:hAnsi="Arial" w:cs="Arial"/>
                <w:color w:val="000000"/>
                <w:sz w:val="20"/>
                <w:szCs w:val="20"/>
              </w:rPr>
            </w:pPr>
            <w:r>
              <w:rPr>
                <w:rFonts w:ascii="Arial" w:eastAsia="Arial" w:hAnsi="Arial" w:cs="Arial"/>
                <w:color w:val="000000"/>
                <w:sz w:val="20"/>
                <w:szCs w:val="20"/>
              </w:rPr>
              <w:t>Liczba wypromowanych prac magisterskich (dane za lata 2019-2021) – 8</w:t>
            </w:r>
          </w:p>
          <w:p w:rsidR="00846CB7" w:rsidRDefault="00846CB7" w:rsidP="00762B46">
            <w:pPr>
              <w:tabs>
                <w:tab w:val="left" w:pos="1134"/>
              </w:tabs>
              <w:ind w:left="720" w:right="505"/>
              <w:jc w:val="both"/>
              <w:rPr>
                <w:rFonts w:ascii="Arial" w:eastAsia="Arial" w:hAnsi="Arial" w:cs="Arial"/>
                <w:color w:val="000000"/>
                <w:sz w:val="20"/>
                <w:szCs w:val="20"/>
              </w:rPr>
            </w:pPr>
            <w:r>
              <w:rPr>
                <w:rFonts w:ascii="Arial" w:eastAsia="Arial" w:hAnsi="Arial" w:cs="Arial"/>
                <w:color w:val="000000"/>
                <w:sz w:val="20"/>
                <w:szCs w:val="20"/>
              </w:rPr>
              <w:lastRenderedPageBreak/>
              <w:t>Liczba zrecenzowanych prac dyplomowych (dane za lata 2019-2021) – 87</w:t>
            </w:r>
          </w:p>
          <w:p w:rsidR="00846CB7" w:rsidRDefault="00846CB7" w:rsidP="00762B46">
            <w:pPr>
              <w:tabs>
                <w:tab w:val="left" w:pos="1134"/>
              </w:tabs>
              <w:ind w:left="357" w:right="505"/>
              <w:jc w:val="both"/>
              <w:rPr>
                <w:rFonts w:ascii="Arial" w:eastAsia="Arial" w:hAnsi="Arial" w:cs="Arial"/>
                <w:b/>
                <w:color w:val="000000"/>
                <w:sz w:val="20"/>
                <w:szCs w:val="20"/>
              </w:rPr>
            </w:pPr>
          </w:p>
          <w:p w:rsidR="00846CB7" w:rsidRDefault="00846CB7" w:rsidP="00762B46">
            <w:pPr>
              <w:numPr>
                <w:ilvl w:val="0"/>
                <w:numId w:val="77"/>
              </w:numPr>
              <w:tabs>
                <w:tab w:val="left" w:pos="1134"/>
              </w:tabs>
              <w:spacing w:after="0" w:line="240" w:lineRule="auto"/>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opracowanie programów i prowadzenie nowych przedmiotów (tytuły przedmiotów):</w:t>
            </w:r>
          </w:p>
          <w:p w:rsidR="00846CB7" w:rsidRDefault="00846CB7" w:rsidP="00762B46">
            <w:pPr>
              <w:tabs>
                <w:tab w:val="left" w:pos="1134"/>
              </w:tabs>
              <w:ind w:left="1440" w:right="505"/>
              <w:jc w:val="both"/>
              <w:rPr>
                <w:rFonts w:ascii="Arial" w:eastAsia="Arial" w:hAnsi="Arial" w:cs="Arial"/>
                <w:b/>
                <w:color w:val="000000"/>
                <w:sz w:val="20"/>
                <w:szCs w:val="20"/>
              </w:rPr>
            </w:pP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Matematyka</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Statystyka</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Metody optymalizacji</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Analiza statystyczna w badaniach społecznych</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Wykorzystywanie pakietów statystycznych Gretla i Statistica</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Jak dobrze przygotować pracę dyplomową z użyciem dostępnego oprogramowania statystycznego</w:t>
            </w:r>
          </w:p>
          <w:p w:rsidR="00846CB7" w:rsidRDefault="00846CB7" w:rsidP="00762B46">
            <w:pPr>
              <w:tabs>
                <w:tab w:val="left" w:pos="1134"/>
              </w:tabs>
              <w:ind w:left="1440" w:right="505"/>
              <w:jc w:val="both"/>
              <w:rPr>
                <w:rFonts w:ascii="Arial" w:eastAsia="Arial" w:hAnsi="Arial" w:cs="Arial"/>
                <w:b/>
                <w:color w:val="000000"/>
                <w:sz w:val="20"/>
                <w:szCs w:val="20"/>
              </w:rPr>
            </w:pPr>
          </w:p>
          <w:p w:rsidR="00846CB7" w:rsidRDefault="00846CB7" w:rsidP="00762B46">
            <w:pPr>
              <w:numPr>
                <w:ilvl w:val="0"/>
                <w:numId w:val="77"/>
              </w:numPr>
              <w:tabs>
                <w:tab w:val="left" w:pos="1134"/>
              </w:tabs>
              <w:spacing w:after="0" w:line="240" w:lineRule="auto"/>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opracowanie kursów na platformę Moodle z przedmiotów:</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Matematyka</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Statystyka</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Metody optymalizacji</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Analiza statystyczna w badaniach społecznych</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Wykorzystywanie pakietów statystycznych Gretla i Statistica</w:t>
            </w:r>
          </w:p>
          <w:p w:rsidR="00846CB7" w:rsidRDefault="00846CB7" w:rsidP="00762B46">
            <w:pPr>
              <w:numPr>
                <w:ilvl w:val="0"/>
                <w:numId w:val="77"/>
              </w:numPr>
              <w:tabs>
                <w:tab w:val="left" w:pos="1134"/>
              </w:tabs>
              <w:spacing w:after="0" w:line="240" w:lineRule="auto"/>
              <w:ind w:right="505"/>
              <w:jc w:val="both"/>
              <w:rPr>
                <w:rFonts w:ascii="Arial" w:eastAsia="Arial" w:hAnsi="Arial" w:cs="Arial"/>
                <w:color w:val="000000"/>
                <w:sz w:val="20"/>
                <w:szCs w:val="20"/>
              </w:rPr>
            </w:pPr>
            <w:r>
              <w:rPr>
                <w:rFonts w:ascii="Arial" w:eastAsia="Arial" w:hAnsi="Arial" w:cs="Arial"/>
                <w:color w:val="000000"/>
                <w:sz w:val="20"/>
                <w:szCs w:val="20"/>
              </w:rPr>
              <w:t>Jak dobrze przygotować pracę dyplomową z użyciem dostępnego oprogramowania statystycznego</w:t>
            </w:r>
          </w:p>
          <w:p w:rsidR="00846CB7" w:rsidRDefault="00846CB7" w:rsidP="00762B46">
            <w:pPr>
              <w:ind w:left="720"/>
              <w:jc w:val="both"/>
              <w:rPr>
                <w:rFonts w:ascii="Arial" w:eastAsia="Arial" w:hAnsi="Arial" w:cs="Arial"/>
                <w:b/>
                <w:i/>
                <w:color w:val="000000"/>
                <w:sz w:val="24"/>
                <w:szCs w:val="24"/>
              </w:rPr>
            </w:pPr>
          </w:p>
          <w:p w:rsidR="00846CB7" w:rsidRDefault="00846CB7" w:rsidP="00762B46">
            <w:pPr>
              <w:ind w:left="720"/>
              <w:jc w:val="both"/>
              <w:rPr>
                <w:rFonts w:ascii="Arial" w:eastAsia="Arial" w:hAnsi="Arial" w:cs="Arial"/>
                <w:b/>
                <w:color w:val="000000"/>
                <w:sz w:val="20"/>
                <w:szCs w:val="20"/>
              </w:rPr>
            </w:pPr>
            <w:r>
              <w:rPr>
                <w:rFonts w:ascii="Arial" w:eastAsia="Arial" w:hAnsi="Arial" w:cs="Arial"/>
                <w:b/>
                <w:color w:val="000000"/>
                <w:sz w:val="20"/>
                <w:szCs w:val="20"/>
              </w:rPr>
              <w:t>Prowadzenie zajęć z użyciem oprogramowania: Microsoft Excel, Statistica, Libre Calc, Wolfram alpha, programu R, PQStat</w:t>
            </w:r>
          </w:p>
          <w:p w:rsidR="00846CB7" w:rsidRDefault="00846CB7" w:rsidP="00762B46">
            <w:pPr>
              <w:numPr>
                <w:ilvl w:val="0"/>
                <w:numId w:val="77"/>
              </w:numPr>
              <w:tabs>
                <w:tab w:val="left" w:pos="1134"/>
              </w:tabs>
              <w:spacing w:after="0" w:line="240" w:lineRule="auto"/>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członkostwo i funkcje w krajowych i międzynarodowych towarzystwach, organizacjach i instytucjach naukowych lub artystycznych</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Członek Komisji Rewizyjnej Stowarzyszenia E-learningu Akademickiego, ekspert w zakresie oceny aplikacji nauczycieli akademickich w procesie certyfikacji e-nauczyciela</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Członek Komitetu Organizacyjnego i Jury Międzynarodowego Konkursu Umiejętności Statystycznych</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numPr>
                <w:ilvl w:val="0"/>
                <w:numId w:val="77"/>
              </w:numPr>
              <w:spacing w:after="0" w:line="240" w:lineRule="auto"/>
              <w:ind w:left="357" w:hanging="357"/>
              <w:rPr>
                <w:rFonts w:ascii="Arial" w:eastAsia="Arial" w:hAnsi="Arial" w:cs="Arial"/>
                <w:b/>
                <w:color w:val="000000"/>
                <w:sz w:val="20"/>
                <w:szCs w:val="20"/>
              </w:rPr>
            </w:pPr>
            <w:r>
              <w:rPr>
                <w:rFonts w:ascii="Arial" w:eastAsia="Arial" w:hAnsi="Arial" w:cs="Arial"/>
                <w:b/>
                <w:color w:val="000000"/>
                <w:sz w:val="20"/>
                <w:szCs w:val="20"/>
              </w:rPr>
              <w:t>opieka nad studentami (tutoring, organizowanie praktyk, inne – jakie?)</w:t>
            </w:r>
          </w:p>
          <w:p w:rsidR="00846CB7" w:rsidRDefault="00846CB7" w:rsidP="00762B46">
            <w:pPr>
              <w:ind w:left="357"/>
              <w:rPr>
                <w:rFonts w:ascii="Arial" w:eastAsia="Arial" w:hAnsi="Arial" w:cs="Arial"/>
                <w:b/>
                <w:color w:val="000000"/>
                <w:sz w:val="20"/>
                <w:szCs w:val="20"/>
              </w:rPr>
            </w:pPr>
          </w:p>
          <w:p w:rsidR="00846CB7" w:rsidRDefault="00846CB7" w:rsidP="00762B46">
            <w:pPr>
              <w:ind w:left="720"/>
              <w:rPr>
                <w:rFonts w:ascii="Arial" w:eastAsia="Arial" w:hAnsi="Arial" w:cs="Arial"/>
                <w:color w:val="000000"/>
                <w:sz w:val="20"/>
                <w:szCs w:val="20"/>
              </w:rPr>
            </w:pPr>
            <w:r>
              <w:rPr>
                <w:rFonts w:ascii="Arial" w:eastAsia="Arial" w:hAnsi="Arial" w:cs="Arial"/>
                <w:color w:val="000000"/>
                <w:sz w:val="20"/>
                <w:szCs w:val="20"/>
              </w:rPr>
              <w:t>Opiekun naukowy studenta Piotra Błaszczaka w ramach Indywidualnej Organizacji Studiów (IOS) na kierunku Zarządzanie Big Data</w:t>
            </w:r>
          </w:p>
          <w:p w:rsidR="00846CB7" w:rsidRDefault="00846CB7" w:rsidP="00762B46">
            <w:pPr>
              <w:ind w:left="720"/>
              <w:rPr>
                <w:rFonts w:ascii="Arial" w:eastAsia="Arial" w:hAnsi="Arial" w:cs="Arial"/>
                <w:color w:val="000000"/>
                <w:sz w:val="20"/>
                <w:szCs w:val="20"/>
              </w:rPr>
            </w:pPr>
          </w:p>
          <w:p w:rsidR="00846CB7" w:rsidRDefault="00846CB7" w:rsidP="00762B46">
            <w:pPr>
              <w:ind w:left="720"/>
              <w:rPr>
                <w:rFonts w:ascii="Arial" w:eastAsia="Arial" w:hAnsi="Arial" w:cs="Arial"/>
                <w:color w:val="000000"/>
                <w:sz w:val="20"/>
                <w:szCs w:val="20"/>
              </w:rPr>
            </w:pPr>
            <w:r>
              <w:rPr>
                <w:rFonts w:ascii="Arial" w:eastAsia="Arial" w:hAnsi="Arial" w:cs="Arial"/>
                <w:color w:val="000000"/>
                <w:sz w:val="20"/>
                <w:szCs w:val="20"/>
              </w:rPr>
              <w:t>XII-I 2020/2021 - Opiekun 4 projektów w ramach przedmiotu Projekt przejściowy na kierunku Zarządzanie Big Data</w:t>
            </w:r>
          </w:p>
          <w:p w:rsidR="00846CB7" w:rsidRDefault="00846CB7" w:rsidP="00762B46">
            <w:pPr>
              <w:tabs>
                <w:tab w:val="left" w:pos="1134"/>
              </w:tabs>
              <w:ind w:right="503"/>
              <w:jc w:val="both"/>
              <w:rPr>
                <w:rFonts w:ascii="Arial" w:eastAsia="Arial" w:hAnsi="Arial" w:cs="Arial"/>
                <w:b/>
                <w:color w:val="000000"/>
                <w:sz w:val="20"/>
                <w:szCs w:val="20"/>
              </w:rPr>
            </w:pPr>
          </w:p>
          <w:p w:rsidR="00846CB7" w:rsidRDefault="00846CB7" w:rsidP="00762B46">
            <w:pPr>
              <w:numPr>
                <w:ilvl w:val="0"/>
                <w:numId w:val="77"/>
              </w:numPr>
              <w:tabs>
                <w:tab w:val="left" w:pos="1134"/>
              </w:tabs>
              <w:spacing w:after="0" w:line="240" w:lineRule="auto"/>
              <w:ind w:left="357" w:right="505" w:hanging="357"/>
              <w:jc w:val="both"/>
              <w:rPr>
                <w:rFonts w:ascii="Arial" w:eastAsia="Arial" w:hAnsi="Arial" w:cs="Arial"/>
                <w:b/>
                <w:color w:val="000000"/>
                <w:sz w:val="20"/>
                <w:szCs w:val="20"/>
              </w:rPr>
            </w:pPr>
            <w:r>
              <w:rPr>
                <w:rFonts w:ascii="Arial" w:eastAsia="Arial" w:hAnsi="Arial" w:cs="Arial"/>
                <w:b/>
                <w:color w:val="000000"/>
                <w:sz w:val="20"/>
                <w:szCs w:val="20"/>
              </w:rPr>
              <w:t>wyróżnienia za działalność dydaktyczną</w:t>
            </w:r>
          </w:p>
          <w:p w:rsidR="00846CB7" w:rsidRDefault="00846CB7" w:rsidP="00762B46">
            <w:pPr>
              <w:tabs>
                <w:tab w:val="left" w:pos="1134"/>
              </w:tabs>
              <w:ind w:right="503"/>
              <w:jc w:val="both"/>
              <w:rPr>
                <w:rFonts w:ascii="Arial" w:eastAsia="Arial" w:hAnsi="Arial" w:cs="Arial"/>
                <w:b/>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02.2019 – Certyfikat e-metodyka przyznany przez Stowarzyszenie E-learningu Akademickiego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06.2019 – Certyfikat e-nauczyciela przyznany przez Stowarzyszenie E-learningu Akademickiego </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06.2019 – Nagroda Rektora III stopnia Małopolskiej Uczelni Państwowej w Oświęcimiu</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12.2019 – 3 miejsce w plebiscycie Gazety Wyborczej i Uniwersytetu Śląskiego w regionie śląskim „Absolwent z Pasją”</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07.2020 – uzyskanie stopnia awansu zawodowego nauczyciela dyplomowanego nadanego przez Śląskiego Kuratora Oświaty w Katowicach</w:t>
            </w:r>
          </w:p>
          <w:p w:rsidR="00846CB7" w:rsidRDefault="00846CB7" w:rsidP="00762B46">
            <w:pPr>
              <w:tabs>
                <w:tab w:val="left" w:pos="1134"/>
              </w:tabs>
              <w:ind w:left="720" w:right="503"/>
              <w:jc w:val="both"/>
              <w:rPr>
                <w:rFonts w:ascii="Arial" w:eastAsia="Arial" w:hAnsi="Arial" w:cs="Arial"/>
                <w:b/>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09.2021 –  Microsoft Innovative Educator Expert (2021/2022)</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b/>
                <w:color w:val="000000"/>
                <w:sz w:val="20"/>
                <w:szCs w:val="20"/>
              </w:rPr>
            </w:pPr>
            <w:r>
              <w:rPr>
                <w:rFonts w:ascii="Arial" w:eastAsia="Arial" w:hAnsi="Arial" w:cs="Arial"/>
                <w:b/>
                <w:color w:val="000000"/>
                <w:sz w:val="20"/>
                <w:szCs w:val="20"/>
              </w:rPr>
              <w:t>-kursy, szkolenia, warsztaty i inne formy rozwoju kompetencji zawodowych, w tym kompetencji zarządczych.</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Lipiec 2020 – Statistica – kurs podstawowy – StatSoft Polska</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b/>
                <w:color w:val="000000"/>
                <w:sz w:val="20"/>
                <w:szCs w:val="20"/>
              </w:rPr>
            </w:pPr>
            <w:r>
              <w:rPr>
                <w:rFonts w:ascii="Arial" w:eastAsia="Arial" w:hAnsi="Arial" w:cs="Arial"/>
                <w:b/>
                <w:color w:val="000000"/>
                <w:sz w:val="20"/>
                <w:szCs w:val="20"/>
              </w:rPr>
              <w:t xml:space="preserve">- inne (jakie?)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Recenzent prac magisterskich w języku angielskim na Wydziale Neofilologicznym, Katedry Filologii Angielskiej – ATENEUM Szkoła Wyższa w Gdańsku</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Program zintegrowanych działań na rzecz rozwoju Uniwersytetu Warszawskiego POWR.03.05.00-00-Z305/17 – wykładowca z przedmiotu Statystyka i Projekt przejściowy na kierunku Zarządzanie Big Data</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Dwuletnia ekspercka współpraca z Wydziałem Biologii Uniwersytetu Warszawskiego – wsparcie studentów z kierunku Biologia przy dokonywaniu analiz statystycznych w projektach studenckich w ramach przedmiotu Dydaktyka biologii.</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Współpracownik i wykładowca akademicki w Programie Stypendialnym Rządu RP im. Konstantego Kalinowskiego z przedmiotu Język specjalistyczny - matematyka (2021/2022) dla grupy słuchaczy z Białorusi</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Koordynator Projektu Kompetentny Nauczyciel Matematyki w dniach 1 maja 2018 – 30 września 2019 w ramach którego przygotowała wniosek w obszarze Oś priorytetowa III Szkolnictwo wyższe dla gospodarki i rozwoju. Działanie: 3.1 Programu Operacyjnego Wiedza Edukacja Rozwój 2014-2020 na specjalizację nauczycielską na kierunku matematyka II stopnia</w:t>
            </w:r>
          </w:p>
          <w:p w:rsidR="00846CB7" w:rsidRDefault="00846CB7" w:rsidP="00762B46">
            <w:pPr>
              <w:tabs>
                <w:tab w:val="left" w:pos="1134"/>
              </w:tabs>
              <w:ind w:left="720"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Współpraca z Działem Kształcenia Uniwersytetu Śląskiego w Katowicach w trakcie przygotowania do Ministra Nauki i Szkolnictwa Wyższego wniosku o nadanie Wydziałowi </w:t>
            </w:r>
            <w:r>
              <w:rPr>
                <w:rFonts w:ascii="Arial" w:eastAsia="Arial" w:hAnsi="Arial" w:cs="Arial"/>
                <w:color w:val="000000"/>
                <w:sz w:val="20"/>
                <w:szCs w:val="20"/>
              </w:rPr>
              <w:lastRenderedPageBreak/>
              <w:t>Etnologii i Nauk o Edukacji uprawnienia do prowadzenia studiów drugiego stopnia o profilu ogólnoakademickim na kierunku e-learning w środowisku zróżnicowanym kulturowo.</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b/>
                <w:color w:val="000000"/>
                <w:sz w:val="20"/>
                <w:szCs w:val="20"/>
              </w:rPr>
            </w:pPr>
            <w:r>
              <w:rPr>
                <w:rFonts w:ascii="Arial" w:eastAsia="Arial" w:hAnsi="Arial" w:cs="Arial"/>
                <w:b/>
                <w:color w:val="000000"/>
                <w:sz w:val="20"/>
                <w:szCs w:val="20"/>
              </w:rPr>
              <w:t>wyniki ankiet studenckich i hospitacji, np. średnia ocena punktowa zajęć lub przykładowe komentarze</w:t>
            </w:r>
          </w:p>
          <w:p w:rsidR="00846CB7" w:rsidRDefault="00846CB7" w:rsidP="00762B46">
            <w:pPr>
              <w:numPr>
                <w:ilvl w:val="0"/>
                <w:numId w:val="22"/>
              </w:numPr>
              <w:tabs>
                <w:tab w:val="left" w:pos="1134"/>
              </w:tabs>
              <w:spacing w:after="0"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bardzo dobrze wyjaśniane zadania</w:t>
            </w:r>
          </w:p>
          <w:p w:rsidR="00846CB7" w:rsidRDefault="00846CB7" w:rsidP="00762B46">
            <w:pPr>
              <w:numPr>
                <w:ilvl w:val="0"/>
                <w:numId w:val="22"/>
              </w:numPr>
              <w:tabs>
                <w:tab w:val="left" w:pos="1134"/>
              </w:tabs>
              <w:spacing w:after="0"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przekazywane treści były zrozumiane przez studentów</w:t>
            </w:r>
          </w:p>
          <w:p w:rsidR="00846CB7" w:rsidRDefault="00846CB7" w:rsidP="00762B46">
            <w:pPr>
              <w:numPr>
                <w:ilvl w:val="0"/>
                <w:numId w:val="22"/>
              </w:numPr>
              <w:tabs>
                <w:tab w:val="left" w:pos="1134"/>
              </w:tabs>
              <w:spacing w:after="0"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Nie było stresu związanego z zajęciami. Ogólnie oceniam pozytywnie.</w:t>
            </w:r>
          </w:p>
          <w:p w:rsidR="00846CB7" w:rsidRDefault="00846CB7" w:rsidP="00762B46">
            <w:pPr>
              <w:numPr>
                <w:ilvl w:val="0"/>
                <w:numId w:val="22"/>
              </w:numPr>
              <w:tabs>
                <w:tab w:val="left" w:pos="1134"/>
              </w:tabs>
              <w:spacing w:after="0"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Zajęcia były prowadzone rzetelnie i zrozumiale, osoba prowadząca była wyrozumiała i pomocna.</w:t>
            </w:r>
          </w:p>
          <w:p w:rsidR="00846CB7" w:rsidRDefault="00846CB7" w:rsidP="00762B46">
            <w:pPr>
              <w:numPr>
                <w:ilvl w:val="0"/>
                <w:numId w:val="22"/>
              </w:numPr>
              <w:tabs>
                <w:tab w:val="left" w:pos="1134"/>
              </w:tabs>
              <w:spacing w:after="0"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Nieskomplikowany materiał z różnych działów matematyki, jasne zasady zaliczenia.</w:t>
            </w:r>
          </w:p>
          <w:p w:rsidR="00846CB7" w:rsidRDefault="00846CB7" w:rsidP="00762B46">
            <w:pPr>
              <w:numPr>
                <w:ilvl w:val="0"/>
                <w:numId w:val="22"/>
              </w:numPr>
              <w:tabs>
                <w:tab w:val="left" w:pos="1134"/>
              </w:tabs>
              <w:spacing w:after="0" w:line="360" w:lineRule="auto"/>
              <w:ind w:left="714" w:right="505" w:hanging="357"/>
              <w:jc w:val="both"/>
              <w:rPr>
                <w:rFonts w:ascii="Arial" w:eastAsia="Arial" w:hAnsi="Arial" w:cs="Arial"/>
                <w:b/>
                <w:color w:val="000000"/>
                <w:sz w:val="20"/>
                <w:szCs w:val="20"/>
              </w:rPr>
            </w:pPr>
            <w:r>
              <w:rPr>
                <w:rFonts w:ascii="Arial" w:eastAsia="Arial" w:hAnsi="Arial" w:cs="Arial"/>
                <w:color w:val="000000"/>
                <w:sz w:val="20"/>
                <w:szCs w:val="20"/>
              </w:rPr>
              <w:t>Sposób prowadzenia zajęć.</w:t>
            </w:r>
          </w:p>
          <w:p w:rsidR="00846CB7" w:rsidRDefault="00846CB7" w:rsidP="00762B46">
            <w:pPr>
              <w:numPr>
                <w:ilvl w:val="0"/>
                <w:numId w:val="22"/>
              </w:numPr>
              <w:tabs>
                <w:tab w:val="left" w:pos="1134"/>
              </w:tabs>
              <w:spacing w:after="0" w:line="360" w:lineRule="auto"/>
              <w:ind w:left="714" w:right="505" w:hanging="357"/>
              <w:jc w:val="both"/>
              <w:rPr>
                <w:rFonts w:ascii="Arial" w:eastAsia="Arial" w:hAnsi="Arial" w:cs="Arial"/>
                <w:b/>
                <w:color w:val="000000"/>
                <w:sz w:val="20"/>
                <w:szCs w:val="20"/>
              </w:rPr>
            </w:pPr>
            <w:r>
              <w:rPr>
                <w:rFonts w:ascii="Tahoma" w:eastAsia="Tahoma" w:hAnsi="Tahoma" w:cs="Tahoma"/>
                <w:color w:val="000000"/>
                <w:sz w:val="20"/>
                <w:szCs w:val="20"/>
              </w:rPr>
              <w:t>Zawsze było wiadomo czego konkretnie się uczyć i jakie zadania robić, żeby zrozumieć omawiany na ćwiczeniach i wymagany na kolokwiach temat.</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b/>
                <w:color w:val="000000"/>
                <w:sz w:val="20"/>
                <w:szCs w:val="20"/>
              </w:rPr>
            </w:pPr>
            <w:r>
              <w:rPr>
                <w:rFonts w:ascii="Arial" w:eastAsia="Arial" w:hAnsi="Arial" w:cs="Arial"/>
                <w:b/>
                <w:color w:val="000000"/>
                <w:sz w:val="20"/>
                <w:szCs w:val="20"/>
              </w:rPr>
              <w:t xml:space="preserve">- doświadczenie trenerskie w prowadzeniu 30 szkoleń z zakresu pakietu Office, obsługi platformy Moodle, nowoczesnych technologii w edukacji, </w:t>
            </w: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01.12-02.12.2017</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Śląski Festiwal Nauki 2017</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Wykład 1 - „Pozbądź się tremy....Przełam strach....”</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Wykład 2 - „Divina proportio czyli o flircie sztuki z matematyką”</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b/>
                <w:color w:val="000000"/>
                <w:sz w:val="20"/>
                <w:szCs w:val="20"/>
              </w:rPr>
            </w:pPr>
            <w:r>
              <w:rPr>
                <w:rFonts w:ascii="Arial" w:eastAsia="Arial" w:hAnsi="Arial" w:cs="Arial"/>
                <w:color w:val="000000"/>
                <w:sz w:val="20"/>
                <w:szCs w:val="20"/>
              </w:rPr>
              <w:t>Warsztaty - „I ty możesz zostać programistą Ozobota”</w:t>
            </w: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dr Wioletta Matosek</w:t>
            </w:r>
          </w:p>
        </w:tc>
      </w:tr>
      <w:tr w:rsidR="00846CB7" w:rsidRPr="00817C94"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 xml:space="preserve">Doktor nauk ekonomicznych w zakresie nauk o zarządzaniu (2002, nagroda II stopnia Rektora UG); pracownik dydaktyczny Wydziału Nauk Politycznych i Studiów Międzynarodowych Uniwersytetu Warszawskiego; 1995-2006 – pracownik naukowo-dydaktyczny w Katedrze Informatyki Ekonomicznej Uniwersytetu Gdańskiego; 2007-2018 - pracownik Narodowego Centrum Badań i Rozwoju, uczestnik procesów tworzenia podstaw funkcjonowania instytucji zarządzającej projektami B+R oraz projektowania i wdrażania rozwiązań informatycznych podnoszących sprawność działania instytucji.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Pr="00846CB7" w:rsidRDefault="00846CB7" w:rsidP="00762B46">
            <w:pPr>
              <w:tabs>
                <w:tab w:val="left" w:pos="1134"/>
              </w:tabs>
              <w:ind w:right="503"/>
              <w:jc w:val="both"/>
              <w:rPr>
                <w:rFonts w:ascii="Arial" w:eastAsia="Arial" w:hAnsi="Arial" w:cs="Arial"/>
                <w:color w:val="000000"/>
                <w:sz w:val="20"/>
                <w:szCs w:val="20"/>
                <w:lang w:val="en-US"/>
              </w:rPr>
            </w:pPr>
            <w:r>
              <w:rPr>
                <w:rFonts w:ascii="Arial" w:eastAsia="Arial" w:hAnsi="Arial" w:cs="Arial"/>
                <w:color w:val="000000"/>
                <w:sz w:val="20"/>
                <w:szCs w:val="20"/>
              </w:rPr>
              <w:lastRenderedPageBreak/>
              <w:t xml:space="preserve">Autorka publikacji z zakresu baz danych i zastosowania technologii informatycznych w zarządzaniu. </w:t>
            </w:r>
            <w:r w:rsidRPr="00846CB7">
              <w:rPr>
                <w:rFonts w:ascii="Arial" w:eastAsia="Arial" w:hAnsi="Arial" w:cs="Arial"/>
                <w:color w:val="000000"/>
                <w:sz w:val="20"/>
                <w:szCs w:val="20"/>
                <w:lang w:val="en-US"/>
              </w:rPr>
              <w:t>Prowadziła badania własne w National Laboratory for Civil Engineering oraz Institute for Systems and Computer Engineering w Lizbonie.</w:t>
            </w:r>
          </w:p>
          <w:p w:rsidR="00846CB7" w:rsidRPr="00846CB7" w:rsidRDefault="00846CB7" w:rsidP="00762B46">
            <w:pPr>
              <w:tabs>
                <w:tab w:val="left" w:pos="1134"/>
              </w:tabs>
              <w:ind w:right="503"/>
              <w:jc w:val="both"/>
              <w:rPr>
                <w:rFonts w:ascii="Arial" w:eastAsia="Arial" w:hAnsi="Arial" w:cs="Arial"/>
                <w:color w:val="000000"/>
                <w:sz w:val="20"/>
                <w:szCs w:val="20"/>
                <w:lang w:val="en-US"/>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bazy danych, język SQL, systemy informatyczne w zarządzaniu, analiza i projektowanie systemów (UML), modelowanie procesów biznesowych (BPMN), serwisy internetowe, narzędzia komunikacji internetowej, marketing w Internecie, nowe media, text mining, programowanie w języku R, metody wizualizacji danych</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Tr="00762B46">
        <w:tc>
          <w:tcPr>
            <w:tcW w:w="9167" w:type="dxa"/>
          </w:tcPr>
          <w:p w:rsidR="00846CB7" w:rsidRDefault="00846CB7" w:rsidP="00762B46">
            <w:pPr>
              <w:numPr>
                <w:ilvl w:val="0"/>
                <w:numId w:val="68"/>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publikacje naukowe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3"/>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W. Matosek, Internetowe bazy ekspertów jako źródło informacji dla dziennikarzy, "Rocznik Muzeum Narodowego w Kielcach", tom: 34 2019,  s. 183-203</w:t>
            </w:r>
          </w:p>
          <w:p w:rsidR="00846CB7" w:rsidRDefault="00846CB7" w:rsidP="00762B46">
            <w:pPr>
              <w:numPr>
                <w:ilvl w:val="0"/>
                <w:numId w:val="53"/>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W. Matosek, Obiektowość bazy danych Oracle10g – ewolucja i stan obecny, „Bazy danych – struktury, algorytmy, metody”, Wydawnictwo Komunikacji i Łączności – Warszawa 2006, s. 135-145</w:t>
            </w:r>
          </w:p>
          <w:p w:rsidR="00846CB7" w:rsidRDefault="00846CB7" w:rsidP="00762B46">
            <w:pPr>
              <w:numPr>
                <w:ilvl w:val="0"/>
                <w:numId w:val="53"/>
              </w:numPr>
              <w:tabs>
                <w:tab w:val="left" w:pos="1134"/>
              </w:tabs>
              <w:spacing w:after="0" w:line="240" w:lineRule="auto"/>
              <w:ind w:left="720" w:right="503"/>
              <w:jc w:val="both"/>
              <w:rPr>
                <w:rFonts w:ascii="Arial" w:eastAsia="Arial" w:hAnsi="Arial" w:cs="Arial"/>
                <w:color w:val="000000"/>
                <w:sz w:val="20"/>
                <w:szCs w:val="20"/>
              </w:rPr>
            </w:pPr>
            <w:r>
              <w:rPr>
                <w:rFonts w:ascii="Arial" w:eastAsia="Arial" w:hAnsi="Arial" w:cs="Arial"/>
                <w:color w:val="000000"/>
                <w:sz w:val="20"/>
                <w:szCs w:val="20"/>
              </w:rPr>
              <w:t>Matosek W., Język SQL w bazie danych Oracle 10g – podręcznik, Wydawnictwo Uniwersytetu Gdańskiego, Sopot 2005</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6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działalność innowacyjna i praktyczne efekty badań (z wyszczególnieniem kwoty środków finansowych pozyskanych dla Uniwersytetu Warszawskiego)</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1. Udział w realizacji projektu: Identyfikacja, Kolekcjonowanie i ocena nieprzyjaznych operacji dezinformacyjnych w cyberprzestrzeni, prowadzone w oparciu o narzędzia teleinformatyczne (IKONA) Cybersecident/489281/IV/NCBR/2021 – Konsorcjum CRI-UW (6,6 mln)</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2. Udział w realizacji projektu: Eksploracja źródeł danych na temat działalności B+R+I, numer grantu/projektu 2/17/PN Instytucja (podmiot realizujący): Uniwersytet Warszawski. Źródło finansowania: NCBiR. Wysokość przyznanych środków etap I - 540 020 zł + VAT; etap II - 939 000 zł + VAT.</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konferencjach, sympozjach, sesjach naukowych, seminariach </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5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V KONFERENCJA NAUKOWA, Logistyka i zarządzanie w mediach, Rafinacja Big Data – Zarządzanie Big Data. Warszawa, Wydział Dziennikarstwa, Informacji i Bibliologii Uniwersytetu Warszawskiego (2018 r.)  Wygłoszony referat: Akademia Inkubatora Big Data – szkoła letnia dla studentów UW</w:t>
            </w:r>
          </w:p>
          <w:p w:rsidR="00846CB7" w:rsidRDefault="00846CB7" w:rsidP="00762B46">
            <w:pPr>
              <w:numPr>
                <w:ilvl w:val="0"/>
                <w:numId w:val="56"/>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Konferencja: VI KONFERENCJA NAUKOWA, Logistyka i zarządzanie w mediach, Rafinacja Big Data – Zarządzanie Big Data, Warszawa, Wydział Dziennikarstwa, Informacji i Bibliologii Uniwersytetu Warszawskiego (2019 r.) Wygłoszony referat: Text mining jako narzędzie do identyfikacji obszarów wsparcia i technologii finansowanych w Polsce ze środków funduszy europejskich w latach 2014-2020</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członkostwo w krajowych i międzynarodowych zespołach eksperckich</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Członek Komisji Rekrutacyjnej - rekrutacja WDIiB – 2019 r.</w:t>
            </w:r>
          </w:p>
          <w:p w:rsidR="00846CB7" w:rsidRDefault="00846CB7" w:rsidP="00762B46">
            <w:pPr>
              <w:tabs>
                <w:tab w:val="left" w:pos="1134"/>
              </w:tabs>
              <w:ind w:right="503"/>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lastRenderedPageBreak/>
              <w:t>Doświadczenie dydaktyczne</w:t>
            </w:r>
          </w:p>
        </w:tc>
      </w:tr>
      <w:tr w:rsidR="00846CB7" w:rsidTr="00762B46">
        <w:tc>
          <w:tcPr>
            <w:tcW w:w="9167" w:type="dxa"/>
          </w:tcPr>
          <w:p w:rsidR="00846CB7" w:rsidRDefault="00846CB7" w:rsidP="00762B46">
            <w:pPr>
              <w:numPr>
                <w:ilvl w:val="0"/>
                <w:numId w:val="54"/>
              </w:numPr>
              <w:tabs>
                <w:tab w:val="left" w:pos="1134"/>
              </w:tabs>
              <w:spacing w:before="120"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publikacje dydaktyczne - autorstwo podręcznika lub rozdziałów w podręczniku, recenzje podręczników, redakcja i udział w przygotowaniu publikacji studentów, tłumaczenia</w:t>
            </w:r>
          </w:p>
          <w:p w:rsidR="00846CB7" w:rsidRDefault="00846CB7" w:rsidP="00762B46">
            <w:pPr>
              <w:numPr>
                <w:ilvl w:val="0"/>
                <w:numId w:val="6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 Matosek, Język SQL w bazie danych Oracle 10g – podręcznik, Wydawnictwo Uniwersytetu Gdańskiego, Sopot 2005</w:t>
            </w:r>
          </w:p>
          <w:p w:rsidR="00846CB7" w:rsidRDefault="00846CB7" w:rsidP="00762B46">
            <w:pPr>
              <w:numPr>
                <w:ilvl w:val="0"/>
                <w:numId w:val="6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Wstęp do Informatyki (red.) Jacek Winiarski – przedmowa i rozdział 4, publikacja Wyższej Szkoły Turystyki i Hotelarstwa, Gdańsk 2003</w:t>
            </w:r>
          </w:p>
          <w:p w:rsidR="00846CB7" w:rsidRDefault="00846CB7" w:rsidP="00762B46">
            <w:pPr>
              <w:numPr>
                <w:ilvl w:val="0"/>
                <w:numId w:val="6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Informatyka dla ekonomistów, (red.) Tomasz Plata-Przechlewski, rozdział 4, Wydawnictwo Uniwersytetu Gdańskiego, Sopot 2004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promotorstwo i recenzje prac dyplomowych, udział w komisjach podczas egzaminu dyplomowego (dane liczbowe)</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Liczba wypromowanych prac licencjackich (dane za lata 2019-2021) - 45</w:t>
            </w:r>
          </w:p>
          <w:p w:rsidR="00846CB7" w:rsidRDefault="00846CB7" w:rsidP="00762B46">
            <w:pPr>
              <w:tabs>
                <w:tab w:val="left" w:pos="1134"/>
              </w:tabs>
              <w:ind w:left="360" w:right="503"/>
              <w:jc w:val="both"/>
              <w:rPr>
                <w:rFonts w:ascii="Arial" w:eastAsia="Arial" w:hAnsi="Arial" w:cs="Arial"/>
                <w:color w:val="000000"/>
                <w:sz w:val="20"/>
                <w:szCs w:val="20"/>
              </w:rPr>
            </w:pPr>
            <w:r>
              <w:rPr>
                <w:rFonts w:ascii="Arial" w:eastAsia="Arial" w:hAnsi="Arial" w:cs="Arial"/>
                <w:color w:val="000000"/>
                <w:sz w:val="20"/>
                <w:szCs w:val="20"/>
              </w:rPr>
              <w:t>Liczba wypromowanych prac magisterskich (dane za lata 2019-2021) – 24</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programów i prowadzenie nowych przedmiotów (tytuły przedmiotów)</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Bazy danych </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Język SQL</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Systemy baz danych </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Inżynieria systemów i analizy systemowej </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Systemy informatyczne zarządzania </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Komputerowe wspomaganie zarządzania</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Informatyka w przedsiębiorstwie</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Oprogramowanie do zarządzania </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Marketing w Internecie</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Informatyka w turystyce</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Projektowanie systemów informatycznych</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Informatyka i Podstawy informatyki </w:t>
            </w:r>
          </w:p>
          <w:p w:rsidR="00846CB7" w:rsidRDefault="00846CB7" w:rsidP="00762B46">
            <w:pPr>
              <w:numPr>
                <w:ilvl w:val="0"/>
                <w:numId w:val="62"/>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Specjalizacja - dziennikarstwo on-line </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kursów na platformę Moodle z przedmiotów:</w:t>
            </w:r>
          </w:p>
          <w:p w:rsidR="00846CB7" w:rsidRDefault="00846CB7" w:rsidP="00762B46">
            <w:pPr>
              <w:numPr>
                <w:ilvl w:val="0"/>
                <w:numId w:val="6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Bazy danych </w:t>
            </w:r>
          </w:p>
          <w:p w:rsidR="00846CB7" w:rsidRDefault="00846CB7" w:rsidP="00762B46">
            <w:pPr>
              <w:numPr>
                <w:ilvl w:val="0"/>
                <w:numId w:val="6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Inżynieria systemów i analizy systemowej </w:t>
            </w:r>
          </w:p>
          <w:p w:rsidR="00846CB7" w:rsidRDefault="00846CB7" w:rsidP="00762B46">
            <w:pPr>
              <w:numPr>
                <w:ilvl w:val="0"/>
                <w:numId w:val="6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innych pomocy dydaktycznych, np. instrukcji do ćwiczeń, programów komputerowych, zbiorów danych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rPr>
                <w:rFonts w:ascii="Arial" w:eastAsia="Arial" w:hAnsi="Arial" w:cs="Arial"/>
                <w:color w:val="000000"/>
                <w:sz w:val="20"/>
                <w:szCs w:val="20"/>
              </w:rPr>
            </w:pPr>
            <w:r>
              <w:rPr>
                <w:rFonts w:ascii="Arial" w:eastAsia="Arial" w:hAnsi="Arial" w:cs="Arial"/>
                <w:color w:val="000000"/>
                <w:sz w:val="20"/>
                <w:szCs w:val="20"/>
              </w:rPr>
              <w:t>opracowanie innych pomocy dydaktycznych, np. instrukcji do ćwiczeń, programów komputerowych, zbiorów danych</w:t>
            </w:r>
          </w:p>
          <w:p w:rsidR="00846CB7" w:rsidRDefault="00846CB7" w:rsidP="00762B46">
            <w:pPr>
              <w:numPr>
                <w:ilvl w:val="0"/>
                <w:numId w:val="8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instrukcji instalacji narzędzi informatycznych do przedmiotów związanych z bazami danych, analizą procesów biznesowych, analizą wymagań do systemów informatycznych oraz oprogramowanie wykorzystywanego w zarządzaniu przedsiębiorstwem</w:t>
            </w:r>
          </w:p>
          <w:p w:rsidR="00846CB7" w:rsidRDefault="00846CB7" w:rsidP="00762B46">
            <w:pPr>
              <w:numPr>
                <w:ilvl w:val="0"/>
                <w:numId w:val="81"/>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zbiorów baz danych na potrzeby przedmiotów związanych z językiem SQL i bazami danych</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 xml:space="preserve">udział w projektach dydaktycznych, pełnienie funkcji koordynatora projektów  dydaktycznych, uzyskanie grantu dydaktycznego </w:t>
            </w:r>
          </w:p>
          <w:p w:rsidR="00846CB7" w:rsidRDefault="00846CB7" w:rsidP="00762B46">
            <w:pPr>
              <w:numPr>
                <w:ilvl w:val="0"/>
                <w:numId w:val="78"/>
              </w:numPr>
              <w:tabs>
                <w:tab w:val="left" w:pos="1134"/>
              </w:tabs>
              <w:spacing w:after="0" w:line="240" w:lineRule="auto"/>
              <w:ind w:right="503"/>
              <w:jc w:val="both"/>
              <w:rPr>
                <w:rFonts w:ascii="Arial" w:eastAsia="Arial" w:hAnsi="Arial" w:cs="Arial"/>
                <w:color w:val="000000"/>
                <w:sz w:val="20"/>
                <w:szCs w:val="20"/>
              </w:rPr>
            </w:pPr>
            <w:r w:rsidRPr="00846CB7">
              <w:rPr>
                <w:rFonts w:ascii="Arial" w:eastAsia="Arial" w:hAnsi="Arial" w:cs="Arial"/>
                <w:color w:val="000000"/>
                <w:sz w:val="20"/>
                <w:szCs w:val="20"/>
                <w:lang w:val="en-US"/>
              </w:rPr>
              <w:t xml:space="preserve">Organizacja szkoły letniej w języku angielskim dla studentów University of Electronic Science and Technology of China, School of Information and Software Engineering pt. </w:t>
            </w:r>
            <w:r>
              <w:rPr>
                <w:rFonts w:ascii="Arial" w:eastAsia="Arial" w:hAnsi="Arial" w:cs="Arial"/>
                <w:color w:val="000000"/>
                <w:sz w:val="20"/>
                <w:szCs w:val="20"/>
              </w:rPr>
              <w:t>ACADEMY OF BIG DATA INCUBATOR w dniach 14-27 lipca 2019 r. w budynku Wydziału Dziennikarstwa, Informacji i Bibliologii.</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lastRenderedPageBreak/>
              <w:t>Wykładowcami szkoły była kadra naukowo-dydaktyczna Katedry Technologii Informacyjnych Mediów WDIB UW oraz osoby współpracujące z katedrą.</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Program szkoły obejmował między innymi zagadnienia związane z:</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identyfikacją i kolekcjonowaniem zbiorów danych,</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robotami służącymi do zbierania informacji,</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metodami i narzędziami rafinacji dużych zbiorów danych,</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analizą sentymentów,</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modelami prognoz z rafinacji dużych zbiorów danych,</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ekonomią informacji,</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a także z wirtualną rzeczywistością (ang. virtual reality) i społeczną odpowiedzialnością biznesu (ang. corporate social responsibility).</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Wizyta studentów University of Electronic Science and Technology of China, School of Information and Software Engineering była odpowiedzią na zaproszenie Katedry Technologii Informacyjnych Mediów i zaproponowany program szkoły.</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Zainteresowanie strony chińskiej udziałem w zajęciach szkoły, przyjazd studentów i aktywne uczestnictwo, świadczy o aktualności i wysokim poziomie merytorycznym zaproponowanych tematów wykładów, ćwiczeń i warsztatów projektowych oraz o wysokich kompetencjach kadry naukowo-dydaktycznej. Potwierdzeniem wysokiej oceny zajęć szkoły przez stroną chińską jest chęć dalszej współpracy i ponownego uczestnictwa w zajęciach szkoły w 2020 roku.</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Zadania w ramach szkoły:</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opracowanie programu zajęć,</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opracowanie testu końcowego,</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zadania logistyczne: organizacja zaproszeń, noclegów i wyżywienia.</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7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Organizacja szkoły letniej w języku angielskim dla studentów Uniwersytetu Warszawskiego pt. ACADEMY OF BIG DATA INCUBATOR w dniach 1-12 lipca 2019 r. w budynku Wydziału Dziennikarstwa, Informacji i Bibliologii.</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Celem szkoły było przygotowanie studentów do zmieniających się warunków i wymagań w zakresie wiedzy i umiejętności pozyskiwania, organizacji, przetwarzania, analizy i wizualizacji dużych zbiorów danych. Tematyka zajęć odpowiadała potrzebom rynku pracy, wspierała podjęcie wyzwań zawodowych związanych z szeroko pojętą dziedziną identyfikowania zasobów, ich zarządzaniem, przetwarzaniem i wizualizacją wyników przeprowadzanych analiz.</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 xml:space="preserve">W ramach zajęć student miał możliwość zdobycia umiejętności identyfikacji i kolekcjonowania materiałów źródłowych. Poznania zaawansowanych narzędzi obróbki statystycznej, analizy danych historycznych, bieżących i predykcji. Nauczenia się, w </w:t>
            </w:r>
            <w:r>
              <w:rPr>
                <w:rFonts w:ascii="Arial" w:eastAsia="Arial" w:hAnsi="Arial" w:cs="Arial"/>
                <w:color w:val="000000"/>
                <w:sz w:val="20"/>
                <w:szCs w:val="20"/>
              </w:rPr>
              <w:lastRenderedPageBreak/>
              <w:t>pogłębionym stopniu, jak stosować systemy wizualizacji, wnioskowania i interpretacji uzyskanych wyników.</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Uczestnictwo w warsztatach i zajęciach projektowych, podczas których student opracowywał koncepcję i wdrożenie własnego projektu analizy dużych zbiorów danych, miało na celu przygotowanie studenta do rozwiązywania złożonych rzeczywistych problemów za pomocą właściwego doboru źródeł informacji, metod i narzędzi analizy danych oraz wizualizacji i interpretacji uzyskanych wyników.</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Szkoła finansowana była z Programu zintegrowanych działań na rzecz rozwoju Uniwersytetu Warszawskiego finansowanego ze środków PO WER ścieżka 3.5. Organizacja szkoły była wynikiem wygranego konkursu na organizację szkół letnich.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Wykładowcami szkoły była kadra naukowo-dydaktyczna Katedry Technologii Informacyjnych Mediów WDIB UW oraz osoby współpracujące z katedrą. Do prowadzenia zajęć zostali zaproszeni również specjaliści z praktycznym doświadczeniem we współpracy z instytucjami o globalnym i lokalnym zasięgu. Eksperci tworzący i wdrażający nowoczesne strategie dotyczące między innymi zarządzania zasobami informacyjnymi, efektywnego wykorzystania technologii informacyjno-komunikacyjnych, badania i kreowania nowych trendów rozwoju IT, czy przetwarzania i analizy dużych wolumenów danych.</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Zadania w ramach szkoły:</w:t>
            </w:r>
          </w:p>
          <w:p w:rsidR="00846CB7" w:rsidRDefault="00846CB7" w:rsidP="00762B46">
            <w:pPr>
              <w:numPr>
                <w:ilvl w:val="0"/>
                <w:numId w:val="7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sporządzenie wniosku konkursowego o organizację szkoły</w:t>
            </w:r>
          </w:p>
          <w:p w:rsidR="00846CB7" w:rsidRDefault="00846CB7" w:rsidP="00762B46">
            <w:pPr>
              <w:numPr>
                <w:ilvl w:val="0"/>
                <w:numId w:val="7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programu zajęć</w:t>
            </w:r>
          </w:p>
          <w:p w:rsidR="00846CB7" w:rsidRDefault="00846CB7" w:rsidP="00762B46">
            <w:pPr>
              <w:numPr>
                <w:ilvl w:val="0"/>
                <w:numId w:val="7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organizacja i przeprowadzenie procesu rekrutacji</w:t>
            </w:r>
          </w:p>
          <w:p w:rsidR="00846CB7" w:rsidRDefault="00846CB7" w:rsidP="00762B46">
            <w:pPr>
              <w:numPr>
                <w:ilvl w:val="0"/>
                <w:numId w:val="7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testu końcowego</w:t>
            </w:r>
          </w:p>
          <w:p w:rsidR="00846CB7" w:rsidRDefault="00846CB7" w:rsidP="00762B46">
            <w:pPr>
              <w:numPr>
                <w:ilvl w:val="0"/>
                <w:numId w:val="7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przeprowadzenie procesu ewaluacji zajęć</w:t>
            </w:r>
          </w:p>
          <w:p w:rsidR="00846CB7" w:rsidRDefault="00846CB7" w:rsidP="00762B46">
            <w:pPr>
              <w:numPr>
                <w:ilvl w:val="0"/>
                <w:numId w:val="79"/>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opracowanie raportów końcowych z realizacji przedsięwzięcia</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udział w krajowych i międzynarodowych programach doskonalących kompetencje zawodowe związane z procesem kształcenia (staże szkoleniowe, prowadzenie zajęć)</w:t>
            </w:r>
          </w:p>
          <w:p w:rsidR="00846CB7" w:rsidRDefault="00846CB7" w:rsidP="00762B46">
            <w:pPr>
              <w:tabs>
                <w:tab w:val="left" w:pos="1134"/>
              </w:tabs>
              <w:ind w:left="720" w:right="503"/>
              <w:jc w:val="both"/>
              <w:rPr>
                <w:rFonts w:ascii="Arial" w:eastAsia="Arial" w:hAnsi="Arial" w:cs="Arial"/>
                <w:color w:val="000000"/>
                <w:sz w:val="20"/>
                <w:szCs w:val="20"/>
              </w:rPr>
            </w:pPr>
            <w:r>
              <w:rPr>
                <w:rFonts w:ascii="Arial" w:eastAsia="Arial" w:hAnsi="Arial" w:cs="Arial"/>
                <w:color w:val="000000"/>
                <w:sz w:val="20"/>
                <w:szCs w:val="20"/>
              </w:rPr>
              <w:t>Ważniejsze ukończone szkolenia:</w:t>
            </w:r>
          </w:p>
          <w:p w:rsidR="00846CB7" w:rsidRDefault="00846CB7" w:rsidP="00762B46">
            <w:pPr>
              <w:numPr>
                <w:ilvl w:val="0"/>
                <w:numId w:val="7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Kreatywność w pracy akademickiej</w:t>
            </w:r>
          </w:p>
          <w:p w:rsidR="00846CB7" w:rsidRDefault="00846CB7" w:rsidP="00762B46">
            <w:pPr>
              <w:numPr>
                <w:ilvl w:val="0"/>
                <w:numId w:val="7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Odwrócona klasa jako metoda w pracy zdalnej/mieszanej i stacjonarnej</w:t>
            </w:r>
          </w:p>
          <w:p w:rsidR="00846CB7" w:rsidRDefault="00846CB7" w:rsidP="00762B46">
            <w:pPr>
              <w:numPr>
                <w:ilvl w:val="0"/>
                <w:numId w:val="7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Bezpieczeństwo informacji</w:t>
            </w:r>
          </w:p>
          <w:p w:rsidR="00846CB7" w:rsidRDefault="00846CB7" w:rsidP="00762B46">
            <w:pPr>
              <w:numPr>
                <w:ilvl w:val="0"/>
                <w:numId w:val="7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Zasada konkurencyjności dla początkujących</w:t>
            </w:r>
          </w:p>
          <w:p w:rsidR="00846CB7" w:rsidRDefault="00846CB7" w:rsidP="00762B46">
            <w:pPr>
              <w:numPr>
                <w:ilvl w:val="0"/>
                <w:numId w:val="7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System zarządzania ryzykiem</w:t>
            </w:r>
          </w:p>
          <w:p w:rsidR="00846CB7" w:rsidRDefault="00846CB7" w:rsidP="00762B46">
            <w:pPr>
              <w:numPr>
                <w:ilvl w:val="0"/>
                <w:numId w:val="7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Etyka pracownika jednostki sektora publicznych</w:t>
            </w:r>
          </w:p>
          <w:p w:rsidR="00846CB7" w:rsidRDefault="00846CB7" w:rsidP="00762B46">
            <w:pPr>
              <w:numPr>
                <w:ilvl w:val="0"/>
                <w:numId w:val="70"/>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Sztuka zarządzania zespołem</w:t>
            </w:r>
          </w:p>
          <w:p w:rsidR="00846CB7" w:rsidRDefault="00846CB7" w:rsidP="00762B46">
            <w:pPr>
              <w:tabs>
                <w:tab w:val="left" w:pos="1134"/>
              </w:tabs>
              <w:ind w:left="720" w:right="503"/>
              <w:jc w:val="both"/>
              <w:rPr>
                <w:rFonts w:ascii="Arial" w:eastAsia="Arial" w:hAnsi="Arial" w:cs="Arial"/>
                <w:color w:val="000000"/>
                <w:sz w:val="20"/>
                <w:szCs w:val="20"/>
              </w:rPr>
            </w:pPr>
          </w:p>
          <w:p w:rsidR="00846CB7" w:rsidRDefault="00846CB7" w:rsidP="00762B46">
            <w:pPr>
              <w:numPr>
                <w:ilvl w:val="0"/>
                <w:numId w:val="54"/>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wyniki ankiet studenckich i hospitacji, np. średnia ocena punktowa zajęć lub przykładowe komentarze</w:t>
            </w:r>
          </w:p>
          <w:p w:rsidR="00846CB7" w:rsidRDefault="00846CB7" w:rsidP="00762B46">
            <w:pPr>
              <w:numPr>
                <w:ilvl w:val="0"/>
                <w:numId w:val="5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Jedne z najlepiej prowadzonych zajęć w tym semestrze. Bardzo praktyczne podejście. Przydzielanie zadań do wykonania w trakcie ćwiczeń zdecydowanie motywowało do pracy i ułatwiało skupienie uwagi ;) Mam poczucie, że zyskaliśmy solidne podstawy do dalszej, samodzielnej nauki.</w:t>
            </w:r>
          </w:p>
          <w:p w:rsidR="00846CB7" w:rsidRDefault="00846CB7" w:rsidP="00762B46">
            <w:pPr>
              <w:numPr>
                <w:ilvl w:val="0"/>
                <w:numId w:val="5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Prowadząca ma wspaniały stosunek do studentów, zachęcała do samodzielnej pracy, ale zawsze służyła pomocą w przypadku problemów z wykonaniem zadania. Bardzo cierpliwa. Potrafi przekazać wiedzę w sposób zrozumiały.</w:t>
            </w:r>
          </w:p>
          <w:p w:rsidR="00846CB7" w:rsidRDefault="00846CB7" w:rsidP="00762B46">
            <w:pPr>
              <w:numPr>
                <w:ilvl w:val="0"/>
                <w:numId w:val="5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lastRenderedPageBreak/>
              <w:t>Bardzo komunikatywna i sympatyczna prowadząca, każdemu poświęcała czas i pomagała rozwiązać każdy problem do skutku. Dobry system zaliczenia przedmiotu, motywujący do aktywności podczas zajęć.</w:t>
            </w:r>
          </w:p>
          <w:p w:rsidR="00846CB7" w:rsidRDefault="00846CB7" w:rsidP="00762B46">
            <w:pPr>
              <w:numPr>
                <w:ilvl w:val="0"/>
                <w:numId w:val="58"/>
              </w:numPr>
              <w:tabs>
                <w:tab w:val="left" w:pos="1134"/>
              </w:tabs>
              <w:spacing w:after="0" w:line="240" w:lineRule="auto"/>
              <w:ind w:right="503"/>
              <w:jc w:val="both"/>
              <w:rPr>
                <w:rFonts w:ascii="Arial" w:eastAsia="Arial" w:hAnsi="Arial" w:cs="Arial"/>
                <w:color w:val="000000"/>
                <w:sz w:val="20"/>
                <w:szCs w:val="20"/>
              </w:rPr>
            </w:pPr>
            <w:r>
              <w:rPr>
                <w:rFonts w:ascii="Arial" w:eastAsia="Arial" w:hAnsi="Arial" w:cs="Arial"/>
                <w:color w:val="000000"/>
                <w:sz w:val="20"/>
                <w:szCs w:val="20"/>
              </w:rPr>
              <w:t>Prowadząca wykazuje bardzo dobre podejście do studenta. Najbardziej podobała mi się wyrozumiałość prowadzącej oraz wysokie kompetencje, duża wiedza i doświadczenie.</w:t>
            </w:r>
          </w:p>
          <w:p w:rsidR="00846CB7" w:rsidRDefault="00846CB7" w:rsidP="00762B46">
            <w:pPr>
              <w:tabs>
                <w:tab w:val="left" w:pos="1134"/>
              </w:tabs>
              <w:ind w:right="503"/>
              <w:jc w:val="both"/>
              <w:rPr>
                <w:rFonts w:ascii="Arial" w:eastAsia="Arial" w:hAnsi="Arial" w:cs="Arial"/>
                <w:color w:val="000000"/>
                <w:sz w:val="20"/>
                <w:szCs w:val="20"/>
              </w:rPr>
            </w:pPr>
          </w:p>
        </w:tc>
      </w:tr>
    </w:tbl>
    <w:p w:rsidR="00846CB7" w:rsidRDefault="00846CB7" w:rsidP="00846CB7">
      <w:pPr>
        <w:tabs>
          <w:tab w:val="left" w:pos="1134"/>
        </w:tabs>
        <w:spacing w:before="120"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d</w:t>
            </w:r>
            <w:r w:rsidRPr="00782471">
              <w:rPr>
                <w:rFonts w:ascii="Arial" w:eastAsia="Arial" w:hAnsi="Arial" w:cs="Arial"/>
                <w:b/>
                <w:color w:val="000000"/>
                <w:sz w:val="20"/>
                <w:szCs w:val="20"/>
              </w:rPr>
              <w:t>r inż. Paweł Majdan</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Pr>
                <w:rFonts w:ascii="Arial" w:eastAsia="Arial" w:hAnsi="Arial" w:cs="Arial"/>
                <w:color w:val="000000"/>
                <w:sz w:val="20"/>
                <w:szCs w:val="20"/>
              </w:rPr>
              <w:t>A</w:t>
            </w:r>
            <w:r w:rsidRPr="00782471">
              <w:rPr>
                <w:rFonts w:ascii="Arial" w:eastAsia="Arial" w:hAnsi="Arial" w:cs="Arial"/>
                <w:color w:val="000000"/>
                <w:sz w:val="20"/>
                <w:szCs w:val="20"/>
              </w:rPr>
              <w:t xml:space="preserve">bsolwent Wojskowej Akademii Technicznej Kierunku Mechatronika,  Politechniki Szczecińskiej Kierunku Elektronika i Telekomunikacja, Studiów podyplomowych w Akademii Obrony Narodowej, Studiów podyplomowych European Security and Defence College w Brukseli oraz Master of Business Administration Wojskowej Akademii Technicznej Kierunek Cyberbezpieczeństwo.  Od początku pracy zawodowej związany z instytucjami centralnymi MON i szkolnictwem wojskowym. Były nauczyciel akademicki Akademii Obrony Narodowej w Warszawie (Akademii Sztuki Wojennej). Autor wielu artykułów, referatów, opracowań naukowych i monografii.  Członek rad naukowych oraz komitetów organizacyjnych konferencji tematycznych. Bierze udział w krajowych i zagranicznych projektach badawczych związanych z IT/Kryptografią i Cyberbezpieczeństwem. </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color w:val="000000"/>
                <w:sz w:val="20"/>
                <w:szCs w:val="20"/>
              </w:rPr>
            </w:pPr>
            <w:r w:rsidRPr="00782471">
              <w:rPr>
                <w:rFonts w:ascii="Arial" w:eastAsia="Arial" w:hAnsi="Arial" w:cs="Arial"/>
                <w:color w:val="000000"/>
                <w:sz w:val="20"/>
                <w:szCs w:val="20"/>
              </w:rPr>
              <w:t>Autor wielu artykułów, referatów, opracowań naukowych i monografii.  Członek rad naukowych oraz komitetów organizacyjnych konferencji tematycznych</w:t>
            </w: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Osiągnięcia naukowe</w:t>
            </w:r>
          </w:p>
        </w:tc>
      </w:tr>
      <w:tr w:rsidR="00846CB7" w:rsidTr="00762B46">
        <w:tc>
          <w:tcPr>
            <w:tcW w:w="9167" w:type="dxa"/>
          </w:tcPr>
          <w:p w:rsidR="00846CB7" w:rsidRPr="00782471" w:rsidRDefault="00846CB7" w:rsidP="00762B46">
            <w:pPr>
              <w:tabs>
                <w:tab w:val="left" w:pos="1134"/>
              </w:tabs>
              <w:ind w:right="503"/>
              <w:jc w:val="both"/>
              <w:rPr>
                <w:rFonts w:ascii="Arial" w:eastAsia="Arial" w:hAnsi="Arial" w:cs="Arial"/>
                <w:color w:val="000000"/>
                <w:sz w:val="20"/>
                <w:szCs w:val="20"/>
              </w:rPr>
            </w:pPr>
            <w:r w:rsidRPr="00782471">
              <w:rPr>
                <w:rFonts w:ascii="Arial" w:eastAsia="Arial" w:hAnsi="Arial" w:cs="Arial"/>
                <w:color w:val="000000"/>
                <w:sz w:val="20"/>
                <w:szCs w:val="20"/>
              </w:rPr>
              <w:t>Swój wysiłek badawczy skupia na zagadnieniach związanych z cyberprzestrzenią, cyberbezpieczeństwem, procesami informacyjnymi oraz militaryzacją cyberprzestrzeni.</w:t>
            </w:r>
          </w:p>
        </w:tc>
      </w:tr>
    </w:tbl>
    <w:p w:rsidR="00846CB7" w:rsidRDefault="00846CB7" w:rsidP="00846CB7">
      <w:pPr>
        <w:tabs>
          <w:tab w:val="left" w:pos="1134"/>
        </w:tabs>
        <w:spacing w:after="0" w:line="240" w:lineRule="auto"/>
        <w:ind w:left="720" w:right="503"/>
        <w:jc w:val="both"/>
        <w:rPr>
          <w:rFonts w:ascii="Arial" w:eastAsia="Arial" w:hAnsi="Arial" w:cs="Arial"/>
          <w:color w:val="000000"/>
          <w:sz w:val="20"/>
          <w:szCs w:val="20"/>
        </w:rPr>
      </w:pPr>
    </w:p>
    <w:p w:rsidR="00846CB7" w:rsidRDefault="00846CB7" w:rsidP="00846CB7">
      <w:pPr>
        <w:tabs>
          <w:tab w:val="left" w:pos="1134"/>
        </w:tabs>
        <w:spacing w:after="0" w:line="240" w:lineRule="auto"/>
        <w:ind w:left="720" w:right="503"/>
        <w:jc w:val="both"/>
        <w:rPr>
          <w:rFonts w:ascii="Arial" w:eastAsia="Arial" w:hAnsi="Arial" w:cs="Arial"/>
          <w:color w:val="000000"/>
          <w:sz w:val="20"/>
          <w:szCs w:val="20"/>
        </w:rPr>
      </w:pPr>
    </w:p>
    <w:tbl>
      <w:tblPr>
        <w:tblW w:w="91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67"/>
      </w:tblGrid>
      <w:tr w:rsidR="00846CB7" w:rsidTr="00762B46">
        <w:tc>
          <w:tcPr>
            <w:tcW w:w="9167" w:type="dxa"/>
            <w:shd w:val="clear" w:color="auto" w:fill="BFBFBF"/>
          </w:tcPr>
          <w:p w:rsidR="00846CB7" w:rsidRDefault="00846CB7" w:rsidP="00762B46">
            <w:pPr>
              <w:tabs>
                <w:tab w:val="left" w:pos="1134"/>
              </w:tabs>
              <w:spacing w:before="120"/>
              <w:ind w:right="503"/>
              <w:jc w:val="both"/>
              <w:rPr>
                <w:rFonts w:ascii="Arial" w:eastAsia="Arial" w:hAnsi="Arial" w:cs="Arial"/>
                <w:b/>
                <w:color w:val="000000"/>
                <w:sz w:val="20"/>
                <w:szCs w:val="20"/>
              </w:rPr>
            </w:pPr>
            <w:r w:rsidRPr="0087371F">
              <w:rPr>
                <w:rFonts w:ascii="Arial" w:eastAsia="Arial" w:hAnsi="Arial" w:cs="Arial"/>
                <w:b/>
                <w:color w:val="000000"/>
                <w:sz w:val="20"/>
                <w:szCs w:val="20"/>
              </w:rPr>
              <w:t xml:space="preserve">dr </w:t>
            </w:r>
            <w:r>
              <w:rPr>
                <w:rFonts w:ascii="Arial" w:eastAsia="Arial" w:hAnsi="Arial" w:cs="Arial"/>
                <w:b/>
                <w:color w:val="000000"/>
                <w:sz w:val="20"/>
                <w:szCs w:val="20"/>
              </w:rPr>
              <w:t xml:space="preserve">inż. </w:t>
            </w:r>
            <w:r w:rsidRPr="0087371F">
              <w:rPr>
                <w:rFonts w:ascii="Arial" w:eastAsia="Arial" w:hAnsi="Arial" w:cs="Arial"/>
                <w:b/>
                <w:color w:val="000000"/>
                <w:sz w:val="20"/>
                <w:szCs w:val="20"/>
              </w:rPr>
              <w:t>Paweł Ciszek</w:t>
            </w:r>
          </w:p>
        </w:tc>
      </w:tr>
      <w:tr w:rsidR="00846CB7" w:rsidTr="00762B46">
        <w:tc>
          <w:tcPr>
            <w:tcW w:w="9167" w:type="dxa"/>
          </w:tcPr>
          <w:p w:rsidR="00846CB7" w:rsidRDefault="00846CB7" w:rsidP="00762B46">
            <w:pPr>
              <w:tabs>
                <w:tab w:val="left" w:pos="1134"/>
              </w:tabs>
              <w:ind w:right="505"/>
              <w:jc w:val="both"/>
              <w:rPr>
                <w:rFonts w:ascii="Arial" w:eastAsia="Arial" w:hAnsi="Arial" w:cs="Arial"/>
                <w:color w:val="000000"/>
                <w:sz w:val="20"/>
                <w:szCs w:val="20"/>
              </w:rPr>
            </w:pPr>
          </w:p>
          <w:p w:rsidR="00846CB7" w:rsidRPr="00D770E5" w:rsidRDefault="00846CB7" w:rsidP="00762B46">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starszy specjalista Dowództwa Komponentu Wojsk Obrony Cyberprzestrzeni</w:t>
            </w:r>
          </w:p>
          <w:p w:rsidR="00846CB7" w:rsidRPr="00D770E5" w:rsidRDefault="00846CB7" w:rsidP="00762B46">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oficer bezpieczeństwa informacji,</w:t>
            </w:r>
          </w:p>
          <w:p w:rsidR="00846CB7" w:rsidRPr="00D770E5" w:rsidRDefault="00846CB7" w:rsidP="00762B46">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nauczyciel akademicki,</w:t>
            </w:r>
          </w:p>
          <w:p w:rsidR="00846CB7" w:rsidRPr="00D770E5" w:rsidRDefault="00846CB7" w:rsidP="00762B46">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naczelnik działu IT,</w:t>
            </w:r>
          </w:p>
          <w:p w:rsidR="00846CB7" w:rsidRDefault="00846CB7" w:rsidP="00762B46">
            <w:pPr>
              <w:tabs>
                <w:tab w:val="left" w:pos="1134"/>
              </w:tabs>
              <w:ind w:right="505"/>
              <w:jc w:val="both"/>
              <w:rPr>
                <w:rFonts w:ascii="Arial" w:eastAsia="Arial" w:hAnsi="Arial" w:cs="Arial"/>
                <w:color w:val="000000"/>
                <w:sz w:val="20"/>
                <w:szCs w:val="20"/>
              </w:rPr>
            </w:pPr>
            <w:r w:rsidRPr="00D770E5">
              <w:rPr>
                <w:rFonts w:ascii="Arial" w:eastAsia="Arial" w:hAnsi="Arial" w:cs="Arial"/>
                <w:color w:val="000000"/>
                <w:sz w:val="20"/>
                <w:szCs w:val="20"/>
              </w:rPr>
              <w:t>− ekspert IT</w:t>
            </w:r>
            <w:r>
              <w:rPr>
                <w:rFonts w:ascii="Arial" w:eastAsia="Arial" w:hAnsi="Arial" w:cs="Arial"/>
                <w:color w:val="000000"/>
                <w:sz w:val="20"/>
                <w:szCs w:val="20"/>
              </w:rPr>
              <w:t>.</w:t>
            </w:r>
          </w:p>
          <w:p w:rsidR="00846CB7" w:rsidRDefault="00846CB7" w:rsidP="00762B46">
            <w:pPr>
              <w:tabs>
                <w:tab w:val="left" w:pos="1134"/>
              </w:tabs>
              <w:ind w:right="505"/>
              <w:jc w:val="both"/>
              <w:rPr>
                <w:rFonts w:ascii="Arial" w:eastAsia="Arial" w:hAnsi="Arial" w:cs="Arial"/>
                <w:color w:val="000000"/>
                <w:sz w:val="20"/>
                <w:szCs w:val="20"/>
              </w:rPr>
            </w:pPr>
          </w:p>
          <w:p w:rsidR="00846CB7" w:rsidRDefault="00846CB7" w:rsidP="00762B46">
            <w:pPr>
              <w:tabs>
                <w:tab w:val="left" w:pos="1134"/>
              </w:tabs>
              <w:ind w:right="505"/>
              <w:jc w:val="both"/>
              <w:rPr>
                <w:rFonts w:ascii="Arial" w:eastAsia="Arial" w:hAnsi="Arial" w:cs="Arial"/>
                <w:color w:val="000000"/>
                <w:sz w:val="20"/>
                <w:szCs w:val="20"/>
              </w:rPr>
            </w:pPr>
            <w:r>
              <w:rPr>
                <w:rFonts w:ascii="Arial" w:eastAsia="Arial" w:hAnsi="Arial" w:cs="Arial"/>
                <w:color w:val="000000"/>
                <w:sz w:val="20"/>
                <w:szCs w:val="20"/>
              </w:rPr>
              <w:t xml:space="preserve">Obecne miejsce pracy: </w:t>
            </w:r>
            <w:r w:rsidRPr="00D770E5">
              <w:rPr>
                <w:rFonts w:ascii="Arial" w:eastAsia="Arial" w:hAnsi="Arial" w:cs="Arial"/>
                <w:color w:val="000000"/>
                <w:sz w:val="20"/>
                <w:szCs w:val="20"/>
              </w:rPr>
              <w:t>Dowództwo Komponentu Wojsk Obrony Cyberprzestrzeni</w:t>
            </w:r>
            <w:r>
              <w:rPr>
                <w:rFonts w:ascii="Arial" w:eastAsia="Arial" w:hAnsi="Arial" w:cs="Arial"/>
                <w:color w:val="000000"/>
                <w:sz w:val="20"/>
                <w:szCs w:val="20"/>
              </w:rPr>
              <w:t>.</w:t>
            </w:r>
          </w:p>
          <w:p w:rsidR="00846CB7" w:rsidRDefault="00846CB7" w:rsidP="00762B46">
            <w:pPr>
              <w:tabs>
                <w:tab w:val="left" w:pos="1134"/>
              </w:tabs>
              <w:ind w:right="505"/>
              <w:jc w:val="both"/>
              <w:rPr>
                <w:rFonts w:ascii="Arial" w:eastAsia="Arial" w:hAnsi="Arial" w:cs="Arial"/>
                <w:color w:val="000000"/>
                <w:sz w:val="20"/>
                <w:szCs w:val="20"/>
              </w:rPr>
            </w:pPr>
          </w:p>
        </w:tc>
      </w:tr>
      <w:tr w:rsidR="00846CB7" w:rsidTr="00762B46">
        <w:tc>
          <w:tcPr>
            <w:tcW w:w="9167" w:type="dxa"/>
          </w:tcPr>
          <w:p w:rsidR="00846CB7" w:rsidRDefault="00846CB7" w:rsidP="00762B46">
            <w:pPr>
              <w:tabs>
                <w:tab w:val="left" w:pos="1134"/>
              </w:tabs>
              <w:spacing w:before="120"/>
              <w:ind w:right="503"/>
              <w:jc w:val="both"/>
              <w:rPr>
                <w:rFonts w:ascii="Arial" w:eastAsia="Arial" w:hAnsi="Arial" w:cs="Arial"/>
                <w:b/>
                <w:color w:val="000000"/>
                <w:sz w:val="20"/>
                <w:szCs w:val="20"/>
              </w:rPr>
            </w:pPr>
            <w:r>
              <w:rPr>
                <w:rFonts w:ascii="Arial" w:eastAsia="Arial" w:hAnsi="Arial" w:cs="Arial"/>
                <w:b/>
                <w:color w:val="000000"/>
                <w:sz w:val="20"/>
                <w:szCs w:val="20"/>
              </w:rPr>
              <w:t>Zainteresowania badawcze</w:t>
            </w:r>
          </w:p>
        </w:tc>
      </w:tr>
      <w:tr w:rsidR="00846CB7" w:rsidTr="00762B46">
        <w:tc>
          <w:tcPr>
            <w:tcW w:w="9167" w:type="dxa"/>
          </w:tcPr>
          <w:p w:rsidR="00846CB7" w:rsidRPr="00D770E5" w:rsidRDefault="00846CB7" w:rsidP="00762B46">
            <w:pPr>
              <w:tabs>
                <w:tab w:val="left" w:pos="1134"/>
              </w:tabs>
              <w:spacing w:before="120"/>
              <w:ind w:right="503"/>
              <w:jc w:val="both"/>
              <w:rPr>
                <w:rFonts w:ascii="Arial" w:eastAsia="Times New Roman" w:hAnsi="Arial" w:cs="Arial"/>
                <w:color w:val="000000"/>
                <w:sz w:val="20"/>
                <w:szCs w:val="20"/>
              </w:rPr>
            </w:pPr>
            <w:r w:rsidRPr="00D770E5">
              <w:rPr>
                <w:rFonts w:ascii="Arial" w:eastAsia="Times New Roman" w:hAnsi="Arial" w:cs="Arial"/>
                <w:color w:val="000000"/>
                <w:sz w:val="20"/>
                <w:szCs w:val="20"/>
              </w:rPr>
              <w:t>cyberbezpieczeństwo, testy bezpieczeństwa, forensic</w:t>
            </w:r>
          </w:p>
        </w:tc>
      </w:tr>
      <w:tr w:rsidR="00846CB7" w:rsidTr="00762B46">
        <w:tc>
          <w:tcPr>
            <w:tcW w:w="9167" w:type="dxa"/>
          </w:tcPr>
          <w:p w:rsidR="00846CB7" w:rsidRPr="00D770E5" w:rsidRDefault="00846CB7" w:rsidP="00762B46">
            <w:pPr>
              <w:tabs>
                <w:tab w:val="left" w:pos="1134"/>
              </w:tabs>
              <w:spacing w:before="120"/>
              <w:ind w:right="503"/>
              <w:jc w:val="both"/>
              <w:rPr>
                <w:rFonts w:ascii="Arial" w:eastAsia="Arial" w:hAnsi="Arial" w:cs="Arial"/>
                <w:b/>
                <w:color w:val="000000"/>
                <w:sz w:val="20"/>
                <w:szCs w:val="20"/>
              </w:rPr>
            </w:pPr>
            <w:r w:rsidRPr="00D770E5">
              <w:rPr>
                <w:rFonts w:ascii="Arial" w:eastAsia="Arial" w:hAnsi="Arial" w:cs="Arial"/>
                <w:b/>
                <w:color w:val="000000"/>
                <w:sz w:val="20"/>
                <w:szCs w:val="20"/>
              </w:rPr>
              <w:lastRenderedPageBreak/>
              <w:t>Osiągnięcia naukowe</w:t>
            </w:r>
          </w:p>
        </w:tc>
      </w:tr>
      <w:tr w:rsidR="00846CB7" w:rsidRPr="00782471" w:rsidTr="00762B46">
        <w:trPr>
          <w:trHeight w:val="356"/>
        </w:trPr>
        <w:tc>
          <w:tcPr>
            <w:tcW w:w="9167" w:type="dxa"/>
          </w:tcPr>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Lista publikacji:</w:t>
            </w:r>
          </w:p>
          <w:p w:rsidR="00846CB7" w:rsidRPr="00CF658B" w:rsidRDefault="00846CB7" w:rsidP="00762B46">
            <w:pPr>
              <w:tabs>
                <w:tab w:val="left" w:pos="1134"/>
              </w:tabs>
              <w:ind w:right="503"/>
              <w:jc w:val="both"/>
              <w:rPr>
                <w:rFonts w:ascii="Arial" w:eastAsia="Arial" w:hAnsi="Arial" w:cs="Arial"/>
                <w:color w:val="000000"/>
                <w:sz w:val="20"/>
                <w:szCs w:val="20"/>
              </w:rPr>
            </w:pPr>
          </w:p>
          <w:p w:rsidR="00846CB7" w:rsidRPr="00CF658B" w:rsidRDefault="00846CB7" w:rsidP="00762B46">
            <w:pPr>
              <w:pStyle w:val="Akapitzlist"/>
              <w:numPr>
                <w:ilvl w:val="0"/>
                <w:numId w:val="91"/>
              </w:numPr>
              <w:tabs>
                <w:tab w:val="left" w:pos="1134"/>
              </w:tabs>
              <w:spacing w:after="0" w:line="240" w:lineRule="auto"/>
              <w:ind w:right="503"/>
              <w:jc w:val="both"/>
              <w:rPr>
                <w:rFonts w:ascii="Arial" w:eastAsia="Arial" w:hAnsi="Arial" w:cs="Arial"/>
                <w:color w:val="000000"/>
                <w:sz w:val="20"/>
                <w:szCs w:val="20"/>
              </w:rPr>
            </w:pPr>
            <w:r w:rsidRPr="00CF658B">
              <w:rPr>
                <w:rFonts w:ascii="Arial" w:eastAsia="Arial" w:hAnsi="Arial" w:cs="Arial"/>
                <w:color w:val="000000"/>
                <w:sz w:val="20"/>
                <w:szCs w:val="20"/>
              </w:rPr>
              <w:t>P. Ciszek Wzmocnienie bezpieczeństwa klienta bankowości elektronicznej w świetle przeprowadzonych badań”, Cybersecurity &amp; Cybercrime, 2021 , MCC Gdynia 2021,</w:t>
            </w:r>
          </w:p>
          <w:p w:rsidR="00846CB7" w:rsidRPr="00CF658B" w:rsidRDefault="00846CB7" w:rsidP="00762B46">
            <w:pPr>
              <w:pStyle w:val="Akapitzlist"/>
              <w:numPr>
                <w:ilvl w:val="0"/>
                <w:numId w:val="91"/>
              </w:numPr>
              <w:tabs>
                <w:tab w:val="left" w:pos="1134"/>
              </w:tabs>
              <w:spacing w:after="0" w:line="240" w:lineRule="auto"/>
              <w:ind w:right="503"/>
              <w:jc w:val="both"/>
              <w:rPr>
                <w:rFonts w:ascii="Arial" w:eastAsia="Arial" w:hAnsi="Arial" w:cs="Arial"/>
                <w:color w:val="000000"/>
                <w:sz w:val="20"/>
                <w:szCs w:val="20"/>
              </w:rPr>
            </w:pPr>
            <w:r w:rsidRPr="00CF658B">
              <w:rPr>
                <w:rFonts w:ascii="Arial" w:eastAsia="Arial" w:hAnsi="Arial" w:cs="Arial"/>
                <w:color w:val="000000"/>
                <w:sz w:val="20"/>
                <w:szCs w:val="20"/>
              </w:rPr>
              <w:t>J. Kosiński, P.Ciszek i in., „Środowisko klienta Bankowości elektronicznej, raport z badań, Fundacja Warszawski Instytut Bankowości, 2021</w:t>
            </w:r>
          </w:p>
          <w:p w:rsidR="00846CB7" w:rsidRPr="00CF658B" w:rsidRDefault="00846CB7" w:rsidP="00762B46">
            <w:pPr>
              <w:pStyle w:val="Akapitzlist"/>
              <w:numPr>
                <w:ilvl w:val="0"/>
                <w:numId w:val="91"/>
              </w:numPr>
              <w:tabs>
                <w:tab w:val="left" w:pos="1134"/>
              </w:tabs>
              <w:spacing w:after="0" w:line="240" w:lineRule="auto"/>
              <w:ind w:right="503"/>
              <w:jc w:val="both"/>
              <w:rPr>
                <w:rFonts w:ascii="Arial" w:eastAsia="Arial" w:hAnsi="Arial" w:cs="Arial"/>
                <w:color w:val="000000"/>
                <w:sz w:val="20"/>
                <w:szCs w:val="20"/>
              </w:rPr>
            </w:pPr>
            <w:r w:rsidRPr="00CF658B">
              <w:rPr>
                <w:rFonts w:ascii="Arial" w:eastAsia="Arial" w:hAnsi="Arial" w:cs="Arial"/>
                <w:color w:val="000000"/>
                <w:sz w:val="20"/>
                <w:szCs w:val="20"/>
              </w:rPr>
              <w:t>Nowicka, P. Ciszek „Przepisy regulujące bezpieczeństwo w ruchu drogowym, w szczególności dotyczące badań psychologicznych dla kierujących pojazdami uprzywilejowanymi – wybrane zagadnienia”, w: „System Wspomagania badań psychologicznych kierowców w Polskiej Policji” red. naukowa A. Letkiewicz, I. Nowicka, E. Kuczyńska, A. Tarnowski, Toruń 2019.</w:t>
            </w:r>
          </w:p>
          <w:p w:rsidR="00846CB7" w:rsidRPr="00CF658B" w:rsidRDefault="00846CB7" w:rsidP="00762B46">
            <w:pPr>
              <w:pStyle w:val="Akapitzlist"/>
              <w:numPr>
                <w:ilvl w:val="0"/>
                <w:numId w:val="91"/>
              </w:numPr>
              <w:tabs>
                <w:tab w:val="left" w:pos="1134"/>
              </w:tabs>
              <w:spacing w:after="0" w:line="240" w:lineRule="auto"/>
              <w:ind w:right="503"/>
              <w:jc w:val="both"/>
              <w:rPr>
                <w:rFonts w:ascii="Arial" w:eastAsia="Arial" w:hAnsi="Arial" w:cs="Arial"/>
                <w:color w:val="000000"/>
                <w:sz w:val="20"/>
                <w:szCs w:val="20"/>
              </w:rPr>
            </w:pPr>
            <w:r w:rsidRPr="00CF658B">
              <w:rPr>
                <w:rFonts w:ascii="Arial" w:eastAsia="Arial" w:hAnsi="Arial" w:cs="Arial"/>
                <w:color w:val="000000"/>
                <w:sz w:val="20"/>
                <w:szCs w:val="20"/>
              </w:rPr>
              <w:t>P. Ciszek „Przestępczość (z)organizowana” w: „Przez PZ do terroryzmu” red. W. Zubrzycki, Szczytno 2015.</w:t>
            </w:r>
          </w:p>
          <w:p w:rsidR="00846CB7" w:rsidRPr="00CF658B" w:rsidRDefault="00846CB7" w:rsidP="00762B46">
            <w:pPr>
              <w:pStyle w:val="Akapitzlist"/>
              <w:numPr>
                <w:ilvl w:val="0"/>
                <w:numId w:val="91"/>
              </w:numPr>
              <w:tabs>
                <w:tab w:val="left" w:pos="1134"/>
              </w:tabs>
              <w:spacing w:after="0" w:line="240" w:lineRule="auto"/>
              <w:ind w:right="503"/>
              <w:jc w:val="both"/>
              <w:rPr>
                <w:rFonts w:ascii="Arial" w:eastAsia="Arial" w:hAnsi="Arial" w:cs="Arial"/>
                <w:color w:val="000000"/>
                <w:sz w:val="20"/>
                <w:szCs w:val="20"/>
              </w:rPr>
            </w:pPr>
            <w:r w:rsidRPr="00CF658B">
              <w:rPr>
                <w:rFonts w:ascii="Arial" w:eastAsia="Arial" w:hAnsi="Arial" w:cs="Arial"/>
                <w:color w:val="000000"/>
                <w:sz w:val="20"/>
                <w:szCs w:val="20"/>
              </w:rPr>
              <w:t>P. Ciszek „Cyberprzestępczość i jej zwalczanie z innej perspektywy”, w: „materiały pokonferencyjne TAPT”, red. J. Kosiński, Szczytno 2014</w:t>
            </w:r>
          </w:p>
          <w:p w:rsidR="00846CB7" w:rsidRPr="00CF658B" w:rsidRDefault="00846CB7" w:rsidP="00762B46">
            <w:pPr>
              <w:pStyle w:val="Akapitzlist"/>
              <w:numPr>
                <w:ilvl w:val="0"/>
                <w:numId w:val="91"/>
              </w:numPr>
              <w:tabs>
                <w:tab w:val="left" w:pos="1134"/>
              </w:tabs>
              <w:spacing w:after="0" w:line="240" w:lineRule="auto"/>
              <w:ind w:right="503"/>
              <w:jc w:val="both"/>
              <w:rPr>
                <w:rFonts w:ascii="Arial" w:eastAsia="Arial" w:hAnsi="Arial" w:cs="Arial"/>
                <w:color w:val="000000"/>
                <w:sz w:val="20"/>
                <w:szCs w:val="20"/>
              </w:rPr>
            </w:pPr>
            <w:r w:rsidRPr="00CF658B">
              <w:rPr>
                <w:rFonts w:ascii="Arial" w:eastAsia="Arial" w:hAnsi="Arial" w:cs="Arial"/>
                <w:color w:val="000000"/>
                <w:sz w:val="20"/>
                <w:szCs w:val="20"/>
              </w:rPr>
              <w:t>P. Ciszek, A. Babiński „Cyberprzestępczość i cyberterroryzm - związki i pomijane zagrożenia” w: „Współczesne zagrożenia bioterrorystyczne i cyberterrorystyczne a bezpieczeństwo narodowe Polski”, red. nauk.: Piotr Bogdalski i inni, Warszawa 2013.</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w:t>
            </w:r>
            <w:r w:rsidRPr="00EA1A24">
              <w:rPr>
                <w:rFonts w:ascii="Arial" w:eastAsia="Arial" w:hAnsi="Arial" w:cs="Arial"/>
                <w:color w:val="000000"/>
                <w:sz w:val="20"/>
                <w:szCs w:val="20"/>
              </w:rPr>
              <w:t>dział w projektach naukowych</w:t>
            </w:r>
            <w:r>
              <w:rPr>
                <w:rFonts w:ascii="Arial" w:eastAsia="Arial" w:hAnsi="Arial" w:cs="Arial"/>
                <w:color w:val="000000"/>
                <w:sz w:val="20"/>
                <w:szCs w:val="20"/>
              </w:rPr>
              <w:t>:</w:t>
            </w:r>
          </w:p>
          <w:p w:rsidR="00846CB7" w:rsidRPr="00EA1A24" w:rsidRDefault="00846CB7" w:rsidP="00762B46">
            <w:pPr>
              <w:tabs>
                <w:tab w:val="left" w:pos="1134"/>
              </w:tabs>
              <w:ind w:right="503"/>
              <w:jc w:val="both"/>
              <w:rPr>
                <w:rFonts w:ascii="Arial" w:eastAsia="Arial" w:hAnsi="Arial" w:cs="Arial"/>
                <w:color w:val="000000"/>
                <w:sz w:val="20"/>
                <w:szCs w:val="20"/>
              </w:rPr>
            </w:pPr>
          </w:p>
          <w:p w:rsidR="00846CB7" w:rsidRPr="00EA1A24" w:rsidRDefault="00846CB7" w:rsidP="00762B46">
            <w:pPr>
              <w:tabs>
                <w:tab w:val="left" w:pos="1134"/>
              </w:tabs>
              <w:ind w:right="503"/>
              <w:jc w:val="both"/>
              <w:rPr>
                <w:rFonts w:ascii="Arial" w:eastAsia="Arial" w:hAnsi="Arial" w:cs="Arial"/>
                <w:color w:val="000000"/>
                <w:sz w:val="20"/>
                <w:szCs w:val="20"/>
              </w:rPr>
            </w:pPr>
            <w:r w:rsidRPr="00EA1A24">
              <w:rPr>
                <w:rFonts w:ascii="Arial" w:eastAsia="Arial" w:hAnsi="Arial" w:cs="Arial"/>
                <w:color w:val="000000"/>
                <w:sz w:val="20"/>
                <w:szCs w:val="20"/>
              </w:rPr>
              <w:t>Kierownik B+R projektu „RAW SECURE PHONE” - celem projektu było przeprowadzenie prac badawczo-rozwojowych, w rezultacie których wytworzona została innowacja produktowa na skalę międzynarodową, w postaci zaawansowanego technologicznie Smartphon-a o podwyższonym standardzie cyberbezpieczeństwa. Projekt finansowany przez NCBiR, okres realizacji 2019-2021, 6 mln 230 tys PLN</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Pr>
                <w:rFonts w:ascii="Arial" w:eastAsia="Arial" w:hAnsi="Arial" w:cs="Arial"/>
                <w:color w:val="000000"/>
                <w:sz w:val="20"/>
                <w:szCs w:val="20"/>
              </w:rPr>
              <w:t>Udział w konferencjach:</w:t>
            </w:r>
          </w:p>
          <w:p w:rsidR="00846CB7" w:rsidRDefault="00846CB7" w:rsidP="00762B46">
            <w:pPr>
              <w:tabs>
                <w:tab w:val="left" w:pos="1134"/>
              </w:tabs>
              <w:ind w:right="503"/>
              <w:jc w:val="both"/>
              <w:rPr>
                <w:rFonts w:ascii="Arial" w:eastAsia="Arial" w:hAnsi="Arial" w:cs="Arial"/>
                <w:color w:val="000000"/>
                <w:sz w:val="20"/>
                <w:szCs w:val="20"/>
              </w:rPr>
            </w:pPr>
          </w:p>
          <w:p w:rsidR="00846CB7" w:rsidRPr="003006D5" w:rsidRDefault="00846CB7" w:rsidP="00762B46">
            <w:pPr>
              <w:tabs>
                <w:tab w:val="left" w:pos="1134"/>
              </w:tabs>
              <w:ind w:right="503"/>
              <w:jc w:val="both"/>
              <w:rPr>
                <w:rFonts w:ascii="Arial" w:eastAsia="Arial" w:hAnsi="Arial" w:cs="Arial"/>
                <w:color w:val="000000"/>
                <w:sz w:val="20"/>
                <w:szCs w:val="20"/>
              </w:rPr>
            </w:pPr>
            <w:r w:rsidRPr="003006D5">
              <w:rPr>
                <w:rFonts w:ascii="Arial" w:eastAsia="Arial" w:hAnsi="Arial" w:cs="Arial"/>
                <w:color w:val="000000"/>
                <w:sz w:val="20"/>
                <w:szCs w:val="20"/>
              </w:rPr>
              <w:t>Konferencja naukowa (XX edycji) – Techniczne Aspekty Przestępczości Teleinformatycznej (Szczytno)</w:t>
            </w:r>
          </w:p>
          <w:p w:rsidR="00846CB7" w:rsidRDefault="00846CB7" w:rsidP="00762B46">
            <w:pPr>
              <w:tabs>
                <w:tab w:val="left" w:pos="1134"/>
              </w:tabs>
              <w:ind w:right="503"/>
              <w:jc w:val="both"/>
              <w:rPr>
                <w:rFonts w:ascii="Arial" w:eastAsia="Arial" w:hAnsi="Arial" w:cs="Arial"/>
                <w:color w:val="000000"/>
                <w:sz w:val="20"/>
                <w:szCs w:val="20"/>
              </w:rPr>
            </w:pPr>
            <w:r w:rsidRPr="003006D5">
              <w:rPr>
                <w:rFonts w:ascii="Arial" w:eastAsia="Arial" w:hAnsi="Arial" w:cs="Arial"/>
                <w:color w:val="000000"/>
                <w:sz w:val="20"/>
                <w:szCs w:val="20"/>
              </w:rPr>
              <w:t>Konferencja naukowa (X edycji) – Zwalczanie przestępczości z wykorzystaniem elektronicznych instrumentów płatniczych (Szczytno)</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r w:rsidRPr="006C6C4E">
              <w:rPr>
                <w:rFonts w:ascii="Arial" w:eastAsia="Arial" w:hAnsi="Arial" w:cs="Arial"/>
                <w:color w:val="000000"/>
                <w:sz w:val="20"/>
                <w:szCs w:val="20"/>
              </w:rPr>
              <w:t>Udział w projektach naukowo-badawczych:</w:t>
            </w:r>
          </w:p>
          <w:p w:rsidR="00846CB7" w:rsidRPr="006C6C4E" w:rsidRDefault="00846CB7" w:rsidP="00762B46">
            <w:pPr>
              <w:tabs>
                <w:tab w:val="left" w:pos="1134"/>
              </w:tabs>
              <w:ind w:right="503"/>
              <w:jc w:val="both"/>
              <w:rPr>
                <w:rFonts w:ascii="Arial" w:eastAsia="Arial" w:hAnsi="Arial" w:cs="Arial"/>
                <w:color w:val="000000"/>
                <w:sz w:val="20"/>
                <w:szCs w:val="20"/>
              </w:rPr>
            </w:pPr>
          </w:p>
          <w:p w:rsidR="00846CB7" w:rsidRPr="006C6C4E" w:rsidRDefault="00846CB7" w:rsidP="00762B46">
            <w:pPr>
              <w:pStyle w:val="Akapitzlist"/>
              <w:numPr>
                <w:ilvl w:val="0"/>
                <w:numId w:val="92"/>
              </w:numPr>
              <w:tabs>
                <w:tab w:val="left" w:pos="1134"/>
              </w:tabs>
              <w:spacing w:after="0" w:line="240" w:lineRule="auto"/>
              <w:ind w:right="503"/>
              <w:jc w:val="both"/>
              <w:rPr>
                <w:rFonts w:ascii="Arial" w:eastAsia="Arial" w:hAnsi="Arial" w:cs="Arial"/>
                <w:color w:val="000000"/>
                <w:sz w:val="20"/>
                <w:szCs w:val="20"/>
              </w:rPr>
            </w:pPr>
            <w:r w:rsidRPr="006C6C4E">
              <w:rPr>
                <w:rFonts w:ascii="Arial" w:eastAsia="Arial" w:hAnsi="Arial" w:cs="Arial"/>
                <w:color w:val="000000"/>
                <w:sz w:val="20"/>
                <w:szCs w:val="20"/>
              </w:rPr>
              <w:t>budowa zintegrowanych systemów wspomagających pracę dochodzeniowo-śledczą (EMP),</w:t>
            </w:r>
          </w:p>
          <w:p w:rsidR="00846CB7" w:rsidRPr="006C6C4E" w:rsidRDefault="00846CB7" w:rsidP="00762B46">
            <w:pPr>
              <w:pStyle w:val="Akapitzlist"/>
              <w:numPr>
                <w:ilvl w:val="0"/>
                <w:numId w:val="92"/>
              </w:numPr>
              <w:tabs>
                <w:tab w:val="left" w:pos="1134"/>
              </w:tabs>
              <w:spacing w:after="0" w:line="240" w:lineRule="auto"/>
              <w:ind w:right="503"/>
              <w:jc w:val="both"/>
              <w:rPr>
                <w:rFonts w:ascii="Arial" w:eastAsia="Arial" w:hAnsi="Arial" w:cs="Arial"/>
                <w:color w:val="000000"/>
                <w:sz w:val="20"/>
                <w:szCs w:val="20"/>
              </w:rPr>
            </w:pPr>
            <w:r w:rsidRPr="006C6C4E">
              <w:rPr>
                <w:rFonts w:ascii="Arial" w:eastAsia="Arial" w:hAnsi="Arial" w:cs="Arial"/>
                <w:color w:val="000000"/>
                <w:sz w:val="20"/>
                <w:szCs w:val="20"/>
              </w:rPr>
              <w:t>budowa systemu wspomagania odzyskiwania mienia (ESOM),</w:t>
            </w:r>
          </w:p>
          <w:p w:rsidR="00846CB7" w:rsidRPr="006C6C4E" w:rsidRDefault="00846CB7" w:rsidP="00762B46">
            <w:pPr>
              <w:pStyle w:val="Akapitzlist"/>
              <w:numPr>
                <w:ilvl w:val="0"/>
                <w:numId w:val="92"/>
              </w:numPr>
              <w:tabs>
                <w:tab w:val="left" w:pos="1134"/>
              </w:tabs>
              <w:spacing w:after="0" w:line="240" w:lineRule="auto"/>
              <w:ind w:right="503"/>
              <w:jc w:val="both"/>
              <w:rPr>
                <w:rFonts w:ascii="Arial" w:eastAsia="Arial" w:hAnsi="Arial" w:cs="Arial"/>
                <w:color w:val="000000"/>
                <w:sz w:val="20"/>
                <w:szCs w:val="20"/>
              </w:rPr>
            </w:pPr>
            <w:r w:rsidRPr="006C6C4E">
              <w:rPr>
                <w:rFonts w:ascii="Arial" w:eastAsia="Arial" w:hAnsi="Arial" w:cs="Arial"/>
                <w:color w:val="000000"/>
                <w:sz w:val="20"/>
                <w:szCs w:val="20"/>
              </w:rPr>
              <w:lastRenderedPageBreak/>
              <w:t>badanie dowodów przestępstw komputerowych (biegły),</w:t>
            </w:r>
          </w:p>
          <w:p w:rsidR="00846CB7" w:rsidRPr="006C6C4E" w:rsidRDefault="00846CB7" w:rsidP="00762B46">
            <w:pPr>
              <w:pStyle w:val="Akapitzlist"/>
              <w:numPr>
                <w:ilvl w:val="0"/>
                <w:numId w:val="92"/>
              </w:numPr>
              <w:tabs>
                <w:tab w:val="left" w:pos="1134"/>
              </w:tabs>
              <w:spacing w:after="0" w:line="240" w:lineRule="auto"/>
              <w:ind w:right="503"/>
              <w:jc w:val="both"/>
              <w:rPr>
                <w:rFonts w:ascii="Arial" w:eastAsia="Arial" w:hAnsi="Arial" w:cs="Arial"/>
                <w:color w:val="000000"/>
                <w:sz w:val="20"/>
                <w:szCs w:val="20"/>
              </w:rPr>
            </w:pPr>
            <w:r w:rsidRPr="006C6C4E">
              <w:rPr>
                <w:rFonts w:ascii="Arial" w:eastAsia="Arial" w:hAnsi="Arial" w:cs="Arial"/>
                <w:color w:val="000000"/>
                <w:sz w:val="20"/>
                <w:szCs w:val="20"/>
              </w:rPr>
              <w:t>zintegrowane cyfrowe systemy wspomagania dowodzenia,</w:t>
            </w:r>
          </w:p>
          <w:p w:rsidR="00846CB7" w:rsidRPr="006C6C4E" w:rsidRDefault="00846CB7" w:rsidP="00762B46">
            <w:pPr>
              <w:pStyle w:val="Akapitzlist"/>
              <w:numPr>
                <w:ilvl w:val="0"/>
                <w:numId w:val="92"/>
              </w:numPr>
              <w:tabs>
                <w:tab w:val="left" w:pos="1134"/>
              </w:tabs>
              <w:spacing w:after="0" w:line="240" w:lineRule="auto"/>
              <w:ind w:right="503"/>
              <w:jc w:val="both"/>
              <w:rPr>
                <w:rFonts w:ascii="Arial" w:eastAsia="Arial" w:hAnsi="Arial" w:cs="Arial"/>
                <w:color w:val="000000"/>
                <w:sz w:val="20"/>
                <w:szCs w:val="20"/>
              </w:rPr>
            </w:pPr>
            <w:r w:rsidRPr="006C6C4E">
              <w:rPr>
                <w:rFonts w:ascii="Arial" w:eastAsia="Arial" w:hAnsi="Arial" w:cs="Arial"/>
                <w:color w:val="000000"/>
                <w:sz w:val="20"/>
                <w:szCs w:val="20"/>
              </w:rPr>
              <w:t>budowa systemu wspomagania badań ankietowych w Policji,</w:t>
            </w:r>
          </w:p>
          <w:p w:rsidR="00846CB7" w:rsidRPr="006C6C4E" w:rsidRDefault="00846CB7" w:rsidP="00762B46">
            <w:pPr>
              <w:pStyle w:val="Akapitzlist"/>
              <w:numPr>
                <w:ilvl w:val="0"/>
                <w:numId w:val="92"/>
              </w:numPr>
              <w:tabs>
                <w:tab w:val="left" w:pos="1134"/>
              </w:tabs>
              <w:spacing w:after="0" w:line="240" w:lineRule="auto"/>
              <w:ind w:right="503"/>
              <w:jc w:val="both"/>
              <w:rPr>
                <w:rFonts w:ascii="Arial" w:eastAsia="Arial" w:hAnsi="Arial" w:cs="Arial"/>
                <w:color w:val="000000"/>
                <w:sz w:val="20"/>
                <w:szCs w:val="20"/>
              </w:rPr>
            </w:pPr>
            <w:r w:rsidRPr="006C6C4E">
              <w:rPr>
                <w:rFonts w:ascii="Arial" w:eastAsia="Arial" w:hAnsi="Arial" w:cs="Arial"/>
                <w:color w:val="000000"/>
                <w:sz w:val="20"/>
                <w:szCs w:val="20"/>
              </w:rPr>
              <w:t>budowa systemu wspomagającego badania psychotechnicznego kierowców pojazdów uprzywilejowanych w Policji</w:t>
            </w:r>
            <w:r>
              <w:rPr>
                <w:rFonts w:ascii="Arial" w:eastAsia="Arial" w:hAnsi="Arial" w:cs="Arial"/>
                <w:color w:val="000000"/>
                <w:sz w:val="20"/>
                <w:szCs w:val="20"/>
              </w:rPr>
              <w:t>.</w:t>
            </w:r>
          </w:p>
          <w:p w:rsidR="00846CB7" w:rsidRDefault="00846CB7" w:rsidP="00762B46">
            <w:pPr>
              <w:tabs>
                <w:tab w:val="left" w:pos="1134"/>
              </w:tabs>
              <w:ind w:right="503"/>
              <w:jc w:val="both"/>
              <w:rPr>
                <w:rFonts w:ascii="Arial" w:eastAsia="Arial" w:hAnsi="Arial" w:cs="Arial"/>
                <w:color w:val="000000"/>
                <w:sz w:val="20"/>
                <w:szCs w:val="20"/>
              </w:rPr>
            </w:pPr>
          </w:p>
          <w:p w:rsidR="00846CB7" w:rsidRPr="00782471" w:rsidRDefault="00846CB7" w:rsidP="00762B46">
            <w:pPr>
              <w:tabs>
                <w:tab w:val="left" w:pos="1134"/>
              </w:tabs>
              <w:ind w:right="503"/>
              <w:jc w:val="both"/>
              <w:rPr>
                <w:rFonts w:ascii="Arial" w:eastAsia="Arial" w:hAnsi="Arial" w:cs="Arial"/>
                <w:color w:val="000000"/>
                <w:sz w:val="20"/>
                <w:szCs w:val="20"/>
              </w:rPr>
            </w:pPr>
          </w:p>
        </w:tc>
      </w:tr>
      <w:tr w:rsidR="00846CB7" w:rsidRPr="00782471" w:rsidTr="00762B46">
        <w:trPr>
          <w:trHeight w:val="356"/>
        </w:trPr>
        <w:tc>
          <w:tcPr>
            <w:tcW w:w="9167" w:type="dxa"/>
            <w:vAlign w:val="bottom"/>
          </w:tcPr>
          <w:p w:rsidR="00846CB7" w:rsidRDefault="00846CB7" w:rsidP="00762B46">
            <w:pPr>
              <w:tabs>
                <w:tab w:val="left" w:pos="1134"/>
              </w:tabs>
              <w:ind w:right="503"/>
              <w:rPr>
                <w:rFonts w:ascii="Arial" w:eastAsia="Arial" w:hAnsi="Arial" w:cs="Arial"/>
                <w:color w:val="000000"/>
                <w:sz w:val="20"/>
                <w:szCs w:val="20"/>
              </w:rPr>
            </w:pPr>
            <w:r>
              <w:rPr>
                <w:rFonts w:ascii="Arial" w:eastAsia="Arial" w:hAnsi="Arial" w:cs="Arial"/>
                <w:b/>
                <w:color w:val="000000"/>
                <w:sz w:val="20"/>
                <w:szCs w:val="20"/>
              </w:rPr>
              <w:lastRenderedPageBreak/>
              <w:t>Doświadczenie dydaktyczne</w:t>
            </w:r>
          </w:p>
        </w:tc>
      </w:tr>
      <w:tr w:rsidR="00846CB7" w:rsidRPr="00782471" w:rsidTr="00762B46">
        <w:trPr>
          <w:trHeight w:val="356"/>
        </w:trPr>
        <w:tc>
          <w:tcPr>
            <w:tcW w:w="9167" w:type="dxa"/>
          </w:tcPr>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Promotorstwo i recenzje prac dyplomowych: 30 dyplomantów.</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Prace w zespole do utworzenia programu na kierunku studiów „Zwalczanie przestępczości teleinformatycznej”</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Przygotowanie materiałów do nauczania zdalnego (zgodne z systemem SCORM) – przestępczość teleinfromatyczna, narzędzia wykorzystywane w zwalczaniu przestępczości teleinformatycznej.</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Opracowanie innych pomocy dydaktycznych, np. instrukcji do ćwiczeń, programów komputerowych, zbiorów danych.</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Prowadzenie zajęć w Letniej Szkołe Cyberbezpieczeństwa – Szczytno.</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Koordynacja i planowanie zajęć dydaktycznych na semestr studiów.</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Ukończenie podyplomowych studiów pedagogicznych.</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Opieka nad kołami naukowymi, prowadzenie nadobowiązkowych zajęć.</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Referaty na konferencjach dydaktycznych.</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Opieka nad wybitnymi studentami objętymi indywidualną organizacją studiów.</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Opieka nad praktykami zawodowymi studentów.</w:t>
            </w:r>
            <w:r>
              <w:t xml:space="preserve"> </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Udział w komisjach ds. jakości kształcenia, współpraca z komisjami akredytacyjnymi, ukończenie form kształcenia rozwijających kompetencje dydaktyczne.</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Wyniki ankiet studenckich, przykładowe komentarze:</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 xml:space="preserve">„zajęcia na bardzo wysokim poziomie, prowadzący w przystępny sposób wyjaśnia skomplikowane kwestie techniczne”, </w:t>
            </w:r>
          </w:p>
          <w:p w:rsidR="00846CB7" w:rsidRPr="002408C3" w:rsidRDefault="00846CB7" w:rsidP="00762B46">
            <w:pPr>
              <w:pStyle w:val="Akapitzlist"/>
              <w:numPr>
                <w:ilvl w:val="0"/>
                <w:numId w:val="93"/>
              </w:numPr>
              <w:tabs>
                <w:tab w:val="left" w:pos="1134"/>
              </w:tabs>
              <w:spacing w:after="0" w:line="240" w:lineRule="auto"/>
              <w:ind w:right="503"/>
              <w:jc w:val="both"/>
              <w:rPr>
                <w:rFonts w:ascii="Arial" w:eastAsia="Arial" w:hAnsi="Arial" w:cs="Arial"/>
                <w:color w:val="000000"/>
                <w:sz w:val="20"/>
                <w:szCs w:val="20"/>
              </w:rPr>
            </w:pPr>
            <w:r w:rsidRPr="002408C3">
              <w:rPr>
                <w:rFonts w:ascii="Arial" w:eastAsia="Arial" w:hAnsi="Arial" w:cs="Arial"/>
                <w:color w:val="000000"/>
                <w:sz w:val="20"/>
                <w:szCs w:val="20"/>
              </w:rPr>
              <w:t>„zajęcia laboratoryjne z wykorzystaniem nowoczesnego oprogramowania do symulacji środowiska służącego do przechwytywania korespondencji (atak man i the middle)”</w:t>
            </w:r>
          </w:p>
          <w:p w:rsidR="00846CB7" w:rsidRDefault="00846CB7" w:rsidP="00762B46">
            <w:pPr>
              <w:tabs>
                <w:tab w:val="left" w:pos="1134"/>
              </w:tabs>
              <w:ind w:right="503"/>
              <w:jc w:val="both"/>
              <w:rPr>
                <w:rFonts w:ascii="Arial" w:eastAsia="Arial" w:hAnsi="Arial" w:cs="Arial"/>
                <w:color w:val="000000"/>
                <w:sz w:val="20"/>
                <w:szCs w:val="20"/>
              </w:rPr>
            </w:pPr>
          </w:p>
          <w:p w:rsidR="00846CB7" w:rsidRDefault="00846CB7" w:rsidP="00762B46">
            <w:pPr>
              <w:tabs>
                <w:tab w:val="left" w:pos="1134"/>
              </w:tabs>
              <w:ind w:right="503"/>
              <w:jc w:val="both"/>
              <w:rPr>
                <w:rFonts w:ascii="Arial" w:eastAsia="Arial" w:hAnsi="Arial" w:cs="Arial"/>
                <w:color w:val="000000"/>
                <w:sz w:val="20"/>
                <w:szCs w:val="20"/>
              </w:rPr>
            </w:pPr>
          </w:p>
        </w:tc>
      </w:tr>
    </w:tbl>
    <w:p w:rsidR="00846CB7" w:rsidRDefault="00846CB7" w:rsidP="00846CB7">
      <w:pPr>
        <w:spacing w:after="0"/>
        <w:ind w:left="720"/>
        <w:rPr>
          <w:rFonts w:ascii="Arial" w:eastAsia="Arial" w:hAnsi="Arial" w:cs="Arial"/>
          <w:color w:val="000000"/>
          <w:sz w:val="20"/>
          <w:szCs w:val="20"/>
        </w:rPr>
      </w:pPr>
    </w:p>
    <w:p w:rsidR="00846CB7" w:rsidRDefault="00846CB7" w:rsidP="00846CB7">
      <w:pPr>
        <w:ind w:left="720"/>
        <w:rPr>
          <w:rFonts w:ascii="Arial" w:eastAsia="Arial" w:hAnsi="Arial" w:cs="Arial"/>
          <w:color w:val="000000"/>
          <w:sz w:val="20"/>
          <w:szCs w:val="20"/>
        </w:rPr>
      </w:pPr>
    </w:p>
    <w:p w:rsidR="00846CB7" w:rsidRDefault="00846CB7" w:rsidP="00846CB7">
      <w:pPr>
        <w:spacing w:after="0"/>
        <w:ind w:left="720"/>
        <w:rPr>
          <w:rFonts w:ascii="Arial" w:eastAsia="Arial" w:hAnsi="Arial" w:cs="Arial"/>
          <w:color w:val="000000"/>
          <w:sz w:val="20"/>
          <w:szCs w:val="20"/>
        </w:rPr>
      </w:pPr>
    </w:p>
    <w:p w:rsidR="00846CB7" w:rsidRDefault="00846CB7" w:rsidP="00846CB7">
      <w:pPr>
        <w:ind w:left="720"/>
        <w:rPr>
          <w:rFonts w:ascii="Arial" w:eastAsia="Arial" w:hAnsi="Arial" w:cs="Arial"/>
          <w:color w:val="000000"/>
          <w:sz w:val="20"/>
          <w:szCs w:val="20"/>
        </w:rPr>
      </w:pPr>
    </w:p>
    <w:p w:rsidR="00846CB7" w:rsidRDefault="00846CB7" w:rsidP="00846CB7">
      <w:pPr>
        <w:spacing w:after="0"/>
        <w:ind w:left="720"/>
        <w:rPr>
          <w:rFonts w:ascii="Arial" w:eastAsia="Arial" w:hAnsi="Arial" w:cs="Arial"/>
          <w:color w:val="000000"/>
          <w:sz w:val="20"/>
          <w:szCs w:val="20"/>
        </w:rPr>
      </w:pPr>
    </w:p>
    <w:p w:rsidR="00846CB7" w:rsidRDefault="00846CB7" w:rsidP="00846CB7"/>
    <w:p w:rsidR="00145D2B" w:rsidRDefault="00145D2B"/>
    <w:sectPr w:rsidR="00145D2B">
      <w:headerReference w:type="default" r:id="rId9"/>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C7" w:rsidRDefault="00474CC7" w:rsidP="00846CB7">
      <w:pPr>
        <w:spacing w:after="0" w:line="240" w:lineRule="auto"/>
      </w:pPr>
      <w:r>
        <w:separator/>
      </w:r>
    </w:p>
  </w:endnote>
  <w:endnote w:type="continuationSeparator" w:id="0">
    <w:p w:rsidR="00474CC7" w:rsidRDefault="00474CC7" w:rsidP="00846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2C" w:rsidRDefault="0006010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7C94">
      <w:rPr>
        <w:noProof/>
        <w:color w:val="000000"/>
      </w:rPr>
      <w:t>22</w:t>
    </w:r>
    <w:r>
      <w:rPr>
        <w:color w:val="000000"/>
      </w:rPr>
      <w:fldChar w:fldCharType="end"/>
    </w:r>
  </w:p>
  <w:p w:rsidR="00460B2C" w:rsidRDefault="00474CC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C7" w:rsidRDefault="00474CC7" w:rsidP="00846CB7">
      <w:pPr>
        <w:spacing w:after="0" w:line="240" w:lineRule="auto"/>
      </w:pPr>
      <w:r>
        <w:separator/>
      </w:r>
    </w:p>
  </w:footnote>
  <w:footnote w:type="continuationSeparator" w:id="0">
    <w:p w:rsidR="00474CC7" w:rsidRDefault="00474CC7" w:rsidP="00846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B2C" w:rsidRDefault="00474CC7">
    <w:pPr>
      <w:pBdr>
        <w:top w:val="nil"/>
        <w:left w:val="nil"/>
        <w:bottom w:val="nil"/>
        <w:right w:val="nil"/>
        <w:between w:val="nil"/>
      </w:pBdr>
      <w:tabs>
        <w:tab w:val="center" w:pos="4536"/>
        <w:tab w:val="right" w:pos="9072"/>
      </w:tabs>
      <w:spacing w:after="0" w:line="240" w:lineRule="auto"/>
      <w:jc w:val="righ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5C5"/>
    <w:multiLevelType w:val="hybridMultilevel"/>
    <w:tmpl w:val="B45A75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820C39"/>
    <w:multiLevelType w:val="multilevel"/>
    <w:tmpl w:val="1B38B6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1F65EF0"/>
    <w:multiLevelType w:val="multilevel"/>
    <w:tmpl w:val="ED2EBE6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 w15:restartNumberingAfterBreak="0">
    <w:nsid w:val="02D6720B"/>
    <w:multiLevelType w:val="multilevel"/>
    <w:tmpl w:val="CA3E6986"/>
    <w:lvl w:ilvl="0">
      <w:start w:val="2"/>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3DF23B2"/>
    <w:multiLevelType w:val="multilevel"/>
    <w:tmpl w:val="2D72C4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3ED5B00"/>
    <w:multiLevelType w:val="multilevel"/>
    <w:tmpl w:val="A7F289A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F0230F"/>
    <w:multiLevelType w:val="hybridMultilevel"/>
    <w:tmpl w:val="6A64F6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3F043B"/>
    <w:multiLevelType w:val="multilevel"/>
    <w:tmpl w:val="F754FA8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8" w15:restartNumberingAfterBreak="0">
    <w:nsid w:val="062D19CD"/>
    <w:multiLevelType w:val="multilevel"/>
    <w:tmpl w:val="F9945860"/>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 w15:restartNumberingAfterBreak="0">
    <w:nsid w:val="073231BF"/>
    <w:multiLevelType w:val="multilevel"/>
    <w:tmpl w:val="5C1AB008"/>
    <w:lvl w:ilvl="0">
      <w:start w:val="5"/>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07B4353D"/>
    <w:multiLevelType w:val="multilevel"/>
    <w:tmpl w:val="361054F0"/>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6C1BA0"/>
    <w:multiLevelType w:val="multilevel"/>
    <w:tmpl w:val="109EDF10"/>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2" w15:restartNumberingAfterBreak="0">
    <w:nsid w:val="0AE2319E"/>
    <w:multiLevelType w:val="multilevel"/>
    <w:tmpl w:val="7D7EAB8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0B0207A6"/>
    <w:multiLevelType w:val="multilevel"/>
    <w:tmpl w:val="5CA6A414"/>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4" w15:restartNumberingAfterBreak="0">
    <w:nsid w:val="0CC17D60"/>
    <w:multiLevelType w:val="multilevel"/>
    <w:tmpl w:val="4BAEC036"/>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5" w15:restartNumberingAfterBreak="0">
    <w:nsid w:val="0F960E68"/>
    <w:multiLevelType w:val="multilevel"/>
    <w:tmpl w:val="BC7EA45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6" w15:restartNumberingAfterBreak="0">
    <w:nsid w:val="0FC53CBB"/>
    <w:multiLevelType w:val="multilevel"/>
    <w:tmpl w:val="06E0425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0455A45"/>
    <w:multiLevelType w:val="multilevel"/>
    <w:tmpl w:val="BB04378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18" w15:restartNumberingAfterBreak="0">
    <w:nsid w:val="10DC07CB"/>
    <w:multiLevelType w:val="multilevel"/>
    <w:tmpl w:val="5E20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2E4E24"/>
    <w:multiLevelType w:val="multilevel"/>
    <w:tmpl w:val="F82A21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13AC4EFC"/>
    <w:multiLevelType w:val="multilevel"/>
    <w:tmpl w:val="C9344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3F26336"/>
    <w:multiLevelType w:val="multilevel"/>
    <w:tmpl w:val="D6CA7CE6"/>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2" w15:restartNumberingAfterBreak="0">
    <w:nsid w:val="16F84BA3"/>
    <w:multiLevelType w:val="multilevel"/>
    <w:tmpl w:val="C5AAA54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3" w15:restartNumberingAfterBreak="0">
    <w:nsid w:val="1B0306FE"/>
    <w:multiLevelType w:val="multilevel"/>
    <w:tmpl w:val="E522EBD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4" w15:restartNumberingAfterBreak="0">
    <w:nsid w:val="1C437CE3"/>
    <w:multiLevelType w:val="multilevel"/>
    <w:tmpl w:val="DCF8D3B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5" w15:restartNumberingAfterBreak="0">
    <w:nsid w:val="1CAD5D51"/>
    <w:multiLevelType w:val="hybridMultilevel"/>
    <w:tmpl w:val="5EBCA988"/>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01043D7"/>
    <w:multiLevelType w:val="multilevel"/>
    <w:tmpl w:val="8C7883A4"/>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7" w15:restartNumberingAfterBreak="0">
    <w:nsid w:val="21684FFB"/>
    <w:multiLevelType w:val="multilevel"/>
    <w:tmpl w:val="20A00D1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3B33813"/>
    <w:multiLevelType w:val="hybridMultilevel"/>
    <w:tmpl w:val="77B84BFC"/>
    <w:lvl w:ilvl="0" w:tplc="B3E4AE7E">
      <w:start w:val="1"/>
      <w:numFmt w:val="bullet"/>
      <w:lvlText w:val=""/>
      <w:lvlJc w:val="left"/>
      <w:pPr>
        <w:ind w:left="1080" w:hanging="360"/>
      </w:pPr>
      <w:rPr>
        <w:rFonts w:ascii="Symbol" w:hAnsi="Symbol" w:hint="default"/>
      </w:rPr>
    </w:lvl>
    <w:lvl w:ilvl="1" w:tplc="634E33C6">
      <w:numFmt w:val="bullet"/>
      <w:lvlText w:val="•"/>
      <w:lvlJc w:val="left"/>
      <w:pPr>
        <w:ind w:left="2160" w:hanging="720"/>
      </w:pPr>
      <w:rPr>
        <w:rFonts w:ascii="Arial" w:eastAsia="Arial" w:hAnsi="Arial"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9" w15:restartNumberingAfterBreak="0">
    <w:nsid w:val="25196445"/>
    <w:multiLevelType w:val="multilevel"/>
    <w:tmpl w:val="0DF495FA"/>
    <w:lvl w:ilvl="0">
      <w:start w:val="5"/>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57A7A12"/>
    <w:multiLevelType w:val="multilevel"/>
    <w:tmpl w:val="96582CA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856154E"/>
    <w:multiLevelType w:val="multilevel"/>
    <w:tmpl w:val="14A69E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BBB7122"/>
    <w:multiLevelType w:val="multilevel"/>
    <w:tmpl w:val="FACE51F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3" w15:restartNumberingAfterBreak="0">
    <w:nsid w:val="2C26616F"/>
    <w:multiLevelType w:val="multilevel"/>
    <w:tmpl w:val="46349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E466065"/>
    <w:multiLevelType w:val="hybridMultilevel"/>
    <w:tmpl w:val="A3A45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7749EC"/>
    <w:multiLevelType w:val="multilevel"/>
    <w:tmpl w:val="5C3E360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6" w15:restartNumberingAfterBreak="0">
    <w:nsid w:val="2F03384F"/>
    <w:multiLevelType w:val="multilevel"/>
    <w:tmpl w:val="BDCCE6D0"/>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7" w15:restartNumberingAfterBreak="0">
    <w:nsid w:val="30100AF4"/>
    <w:multiLevelType w:val="multilevel"/>
    <w:tmpl w:val="E3304DC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8199C"/>
    <w:multiLevelType w:val="multilevel"/>
    <w:tmpl w:val="5CEAD7E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39" w15:restartNumberingAfterBreak="0">
    <w:nsid w:val="35652992"/>
    <w:multiLevelType w:val="multilevel"/>
    <w:tmpl w:val="12B865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5B471DE"/>
    <w:multiLevelType w:val="multilevel"/>
    <w:tmpl w:val="68F6FD40"/>
    <w:lvl w:ilvl="0">
      <w:start w:val="46"/>
      <w:numFmt w:val="decimal"/>
      <w:lvlText w:val="%1."/>
      <w:lvlJc w:val="left"/>
      <w:pPr>
        <w:ind w:left="3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65F09E2"/>
    <w:multiLevelType w:val="multilevel"/>
    <w:tmpl w:val="8F821B7A"/>
    <w:lvl w:ilvl="0">
      <w:start w:val="5"/>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3A132F76"/>
    <w:multiLevelType w:val="hybridMultilevel"/>
    <w:tmpl w:val="BAACEE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BB97A2C"/>
    <w:multiLevelType w:val="multilevel"/>
    <w:tmpl w:val="87CC32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3D1B7902"/>
    <w:multiLevelType w:val="multilevel"/>
    <w:tmpl w:val="114853F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5" w15:restartNumberingAfterBreak="0">
    <w:nsid w:val="3D8F5B4B"/>
    <w:multiLevelType w:val="multilevel"/>
    <w:tmpl w:val="28FCCB2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6" w15:restartNumberingAfterBreak="0">
    <w:nsid w:val="3ED95B39"/>
    <w:multiLevelType w:val="multilevel"/>
    <w:tmpl w:val="BDF265F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7" w15:restartNumberingAfterBreak="0">
    <w:nsid w:val="41D951A5"/>
    <w:multiLevelType w:val="multilevel"/>
    <w:tmpl w:val="ED9C01F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8" w15:restartNumberingAfterBreak="0">
    <w:nsid w:val="42377D8D"/>
    <w:multiLevelType w:val="multilevel"/>
    <w:tmpl w:val="A29224D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49" w15:restartNumberingAfterBreak="0">
    <w:nsid w:val="42F025F4"/>
    <w:multiLevelType w:val="multilevel"/>
    <w:tmpl w:val="8CF4D31E"/>
    <w:lvl w:ilvl="0">
      <w:start w:val="1"/>
      <w:numFmt w:val="decimal"/>
      <w:lvlText w:val="%1."/>
      <w:lvlJc w:val="left"/>
      <w:pPr>
        <w:ind w:left="3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520159B"/>
    <w:multiLevelType w:val="multilevel"/>
    <w:tmpl w:val="3CC4AC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46B30DBC"/>
    <w:multiLevelType w:val="multilevel"/>
    <w:tmpl w:val="102A842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83C75F2"/>
    <w:multiLevelType w:val="multilevel"/>
    <w:tmpl w:val="3DB6C80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53" w15:restartNumberingAfterBreak="0">
    <w:nsid w:val="4A4737A1"/>
    <w:multiLevelType w:val="multilevel"/>
    <w:tmpl w:val="AB347E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4AC77A71"/>
    <w:multiLevelType w:val="hybridMultilevel"/>
    <w:tmpl w:val="1E948F2E"/>
    <w:lvl w:ilvl="0" w:tplc="B3E4AE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C411BD8"/>
    <w:multiLevelType w:val="multilevel"/>
    <w:tmpl w:val="8474C9CE"/>
    <w:lvl w:ilvl="0">
      <w:start w:val="1"/>
      <w:numFmt w:val="decimal"/>
      <w:lvlText w:val="%1."/>
      <w:lvlJc w:val="left"/>
      <w:pPr>
        <w:ind w:left="382" w:hanging="360"/>
      </w:pPr>
      <w:rPr>
        <w:rFonts w:hint="default"/>
      </w:rPr>
    </w:lvl>
    <w:lvl w:ilvl="1">
      <w:start w:val="1"/>
      <w:numFmt w:val="lowerLetter"/>
      <w:lvlText w:val="%2."/>
      <w:lvlJc w:val="left"/>
      <w:pPr>
        <w:ind w:left="1102" w:hanging="360"/>
      </w:pPr>
      <w:rPr>
        <w:rFonts w:hint="default"/>
      </w:rPr>
    </w:lvl>
    <w:lvl w:ilvl="2">
      <w:start w:val="1"/>
      <w:numFmt w:val="lowerRoman"/>
      <w:lvlText w:val="%3."/>
      <w:lvlJc w:val="right"/>
      <w:pPr>
        <w:ind w:left="1822" w:hanging="180"/>
      </w:pPr>
      <w:rPr>
        <w:rFonts w:hint="default"/>
      </w:rPr>
    </w:lvl>
    <w:lvl w:ilvl="3">
      <w:start w:val="1"/>
      <w:numFmt w:val="decimal"/>
      <w:lvlText w:val="%4."/>
      <w:lvlJc w:val="left"/>
      <w:pPr>
        <w:ind w:left="2542" w:hanging="360"/>
      </w:pPr>
      <w:rPr>
        <w:rFonts w:hint="default"/>
      </w:rPr>
    </w:lvl>
    <w:lvl w:ilvl="4">
      <w:start w:val="1"/>
      <w:numFmt w:val="lowerLetter"/>
      <w:lvlText w:val="%5."/>
      <w:lvlJc w:val="left"/>
      <w:pPr>
        <w:ind w:left="3262" w:hanging="360"/>
      </w:pPr>
      <w:rPr>
        <w:rFonts w:hint="default"/>
      </w:rPr>
    </w:lvl>
    <w:lvl w:ilvl="5">
      <w:start w:val="1"/>
      <w:numFmt w:val="lowerRoman"/>
      <w:lvlText w:val="%6."/>
      <w:lvlJc w:val="right"/>
      <w:pPr>
        <w:ind w:left="3982" w:hanging="180"/>
      </w:pPr>
      <w:rPr>
        <w:rFonts w:hint="default"/>
      </w:rPr>
    </w:lvl>
    <w:lvl w:ilvl="6">
      <w:start w:val="1"/>
      <w:numFmt w:val="decimal"/>
      <w:lvlText w:val="%7."/>
      <w:lvlJc w:val="left"/>
      <w:pPr>
        <w:ind w:left="4702" w:hanging="360"/>
      </w:pPr>
      <w:rPr>
        <w:rFonts w:hint="default"/>
      </w:rPr>
    </w:lvl>
    <w:lvl w:ilvl="7">
      <w:start w:val="1"/>
      <w:numFmt w:val="lowerLetter"/>
      <w:lvlText w:val="%8."/>
      <w:lvlJc w:val="left"/>
      <w:pPr>
        <w:ind w:left="5422" w:hanging="360"/>
      </w:pPr>
      <w:rPr>
        <w:rFonts w:hint="default"/>
      </w:rPr>
    </w:lvl>
    <w:lvl w:ilvl="8">
      <w:start w:val="1"/>
      <w:numFmt w:val="lowerRoman"/>
      <w:lvlText w:val="%9."/>
      <w:lvlJc w:val="right"/>
      <w:pPr>
        <w:ind w:left="6142" w:hanging="180"/>
      </w:pPr>
      <w:rPr>
        <w:rFonts w:hint="default"/>
      </w:rPr>
    </w:lvl>
  </w:abstractNum>
  <w:abstractNum w:abstractNumId="56" w15:restartNumberingAfterBreak="0">
    <w:nsid w:val="4D60327B"/>
    <w:multiLevelType w:val="multilevel"/>
    <w:tmpl w:val="9ECA35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EEB637D"/>
    <w:multiLevelType w:val="multilevel"/>
    <w:tmpl w:val="0E181E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8" w15:restartNumberingAfterBreak="0">
    <w:nsid w:val="4FAE16AC"/>
    <w:multiLevelType w:val="multilevel"/>
    <w:tmpl w:val="F0048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FD86988"/>
    <w:multiLevelType w:val="multilevel"/>
    <w:tmpl w:val="C8AE36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51CC3902"/>
    <w:multiLevelType w:val="multilevel"/>
    <w:tmpl w:val="8E282C6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1" w15:restartNumberingAfterBreak="0">
    <w:nsid w:val="52E73D32"/>
    <w:multiLevelType w:val="multilevel"/>
    <w:tmpl w:val="C8C02B3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2" w15:restartNumberingAfterBreak="0">
    <w:nsid w:val="54295E9E"/>
    <w:multiLevelType w:val="multilevel"/>
    <w:tmpl w:val="3A147AD0"/>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3" w15:restartNumberingAfterBreak="0">
    <w:nsid w:val="57175EC9"/>
    <w:multiLevelType w:val="multilevel"/>
    <w:tmpl w:val="2F926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79234B2"/>
    <w:multiLevelType w:val="multilevel"/>
    <w:tmpl w:val="A3DC9AB8"/>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5" w15:restartNumberingAfterBreak="0">
    <w:nsid w:val="580F7F7A"/>
    <w:multiLevelType w:val="multilevel"/>
    <w:tmpl w:val="7DB2BBE8"/>
    <w:lvl w:ilvl="0">
      <w:start w:val="3"/>
      <w:numFmt w:val="decimal"/>
      <w:lvlText w:val="%1."/>
      <w:lvlJc w:val="left"/>
      <w:pPr>
        <w:ind w:left="38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9F54F9E"/>
    <w:multiLevelType w:val="multilevel"/>
    <w:tmpl w:val="6116E494"/>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7" w15:restartNumberingAfterBreak="0">
    <w:nsid w:val="5AD278F6"/>
    <w:multiLevelType w:val="multilevel"/>
    <w:tmpl w:val="A822A652"/>
    <w:lvl w:ilvl="0">
      <w:start w:val="18"/>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68" w15:restartNumberingAfterBreak="0">
    <w:nsid w:val="5C417DA5"/>
    <w:multiLevelType w:val="multilevel"/>
    <w:tmpl w:val="E4E22D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E327E33"/>
    <w:multiLevelType w:val="multilevel"/>
    <w:tmpl w:val="94F615F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0" w15:restartNumberingAfterBreak="0">
    <w:nsid w:val="5FEF1CD9"/>
    <w:multiLevelType w:val="multilevel"/>
    <w:tmpl w:val="F59608E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1" w15:restartNumberingAfterBreak="0">
    <w:nsid w:val="60986710"/>
    <w:multiLevelType w:val="multilevel"/>
    <w:tmpl w:val="526440C6"/>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2" w15:restartNumberingAfterBreak="0">
    <w:nsid w:val="61D459AD"/>
    <w:multiLevelType w:val="hybridMultilevel"/>
    <w:tmpl w:val="385A42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5F95447"/>
    <w:multiLevelType w:val="multilevel"/>
    <w:tmpl w:val="F06276EE"/>
    <w:lvl w:ilvl="0">
      <w:start w:val="5"/>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4" w15:restartNumberingAfterBreak="0">
    <w:nsid w:val="68C51A26"/>
    <w:multiLevelType w:val="multilevel"/>
    <w:tmpl w:val="D3726A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5" w15:restartNumberingAfterBreak="0">
    <w:nsid w:val="694838E6"/>
    <w:multiLevelType w:val="multilevel"/>
    <w:tmpl w:val="2CFC21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6" w15:restartNumberingAfterBreak="0">
    <w:nsid w:val="6C611D02"/>
    <w:multiLevelType w:val="multilevel"/>
    <w:tmpl w:val="3F608FA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C901FB2"/>
    <w:multiLevelType w:val="multilevel"/>
    <w:tmpl w:val="7070EA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8" w15:restartNumberingAfterBreak="0">
    <w:nsid w:val="6E417E71"/>
    <w:multiLevelType w:val="multilevel"/>
    <w:tmpl w:val="3828E67E"/>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79" w15:restartNumberingAfterBreak="0">
    <w:nsid w:val="6E8A7516"/>
    <w:multiLevelType w:val="hybridMultilevel"/>
    <w:tmpl w:val="04EAE718"/>
    <w:lvl w:ilvl="0" w:tplc="B3E4AE7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0" w15:restartNumberingAfterBreak="0">
    <w:nsid w:val="6EBD0F02"/>
    <w:multiLevelType w:val="multilevel"/>
    <w:tmpl w:val="F662D176"/>
    <w:lvl w:ilvl="0">
      <w:start w:val="5"/>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6F7537B2"/>
    <w:multiLevelType w:val="multilevel"/>
    <w:tmpl w:val="C27CBB6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FF6797F"/>
    <w:multiLevelType w:val="multilevel"/>
    <w:tmpl w:val="B16851F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0E31678"/>
    <w:multiLevelType w:val="multilevel"/>
    <w:tmpl w:val="550C4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27B1625"/>
    <w:multiLevelType w:val="multilevel"/>
    <w:tmpl w:val="83AA76D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36133D9"/>
    <w:multiLevelType w:val="multilevel"/>
    <w:tmpl w:val="A35EDF3C"/>
    <w:lvl w:ilvl="0">
      <w:start w:val="1"/>
      <w:numFmt w:val="bullet"/>
      <w:lvlText w:val="–"/>
      <w:lvlJc w:val="left"/>
      <w:pPr>
        <w:ind w:left="36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6" w15:restartNumberingAfterBreak="0">
    <w:nsid w:val="746D4C97"/>
    <w:multiLevelType w:val="multilevel"/>
    <w:tmpl w:val="18CCA84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87" w15:restartNumberingAfterBreak="0">
    <w:nsid w:val="769D49CE"/>
    <w:multiLevelType w:val="multilevel"/>
    <w:tmpl w:val="3A321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8" w15:restartNumberingAfterBreak="0">
    <w:nsid w:val="76F579C7"/>
    <w:multiLevelType w:val="hybridMultilevel"/>
    <w:tmpl w:val="AB9874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7D73C74"/>
    <w:multiLevelType w:val="multilevel"/>
    <w:tmpl w:val="E68C398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0" w15:restartNumberingAfterBreak="0">
    <w:nsid w:val="7949264A"/>
    <w:multiLevelType w:val="multilevel"/>
    <w:tmpl w:val="63007D6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1" w15:restartNumberingAfterBreak="0">
    <w:nsid w:val="794D472D"/>
    <w:multiLevelType w:val="multilevel"/>
    <w:tmpl w:val="BC8E4E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2" w15:restartNumberingAfterBreak="0">
    <w:nsid w:val="7AB416E4"/>
    <w:multiLevelType w:val="multilevel"/>
    <w:tmpl w:val="CE8C53BC"/>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93" w15:restartNumberingAfterBreak="0">
    <w:nsid w:val="7B745596"/>
    <w:multiLevelType w:val="multilevel"/>
    <w:tmpl w:val="3870B09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CC31AD9"/>
    <w:multiLevelType w:val="multilevel"/>
    <w:tmpl w:val="4CF0020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7CCE3DD8"/>
    <w:multiLevelType w:val="multilevel"/>
    <w:tmpl w:val="2248AB5A"/>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D2D7596"/>
    <w:multiLevelType w:val="multilevel"/>
    <w:tmpl w:val="75C45C22"/>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num w:numId="1">
    <w:abstractNumId w:val="48"/>
  </w:num>
  <w:num w:numId="2">
    <w:abstractNumId w:val="36"/>
  </w:num>
  <w:num w:numId="3">
    <w:abstractNumId w:val="92"/>
  </w:num>
  <w:num w:numId="4">
    <w:abstractNumId w:val="64"/>
  </w:num>
  <w:num w:numId="5">
    <w:abstractNumId w:val="96"/>
  </w:num>
  <w:num w:numId="6">
    <w:abstractNumId w:val="90"/>
  </w:num>
  <w:num w:numId="7">
    <w:abstractNumId w:val="52"/>
  </w:num>
  <w:num w:numId="8">
    <w:abstractNumId w:val="86"/>
  </w:num>
  <w:num w:numId="9">
    <w:abstractNumId w:val="45"/>
  </w:num>
  <w:num w:numId="10">
    <w:abstractNumId w:val="8"/>
  </w:num>
  <w:num w:numId="11">
    <w:abstractNumId w:val="61"/>
  </w:num>
  <w:num w:numId="12">
    <w:abstractNumId w:val="46"/>
  </w:num>
  <w:num w:numId="13">
    <w:abstractNumId w:val="70"/>
  </w:num>
  <w:num w:numId="14">
    <w:abstractNumId w:val="7"/>
  </w:num>
  <w:num w:numId="15">
    <w:abstractNumId w:val="32"/>
  </w:num>
  <w:num w:numId="16">
    <w:abstractNumId w:val="89"/>
  </w:num>
  <w:num w:numId="17">
    <w:abstractNumId w:val="14"/>
  </w:num>
  <w:num w:numId="18">
    <w:abstractNumId w:val="35"/>
  </w:num>
  <w:num w:numId="19">
    <w:abstractNumId w:val="60"/>
  </w:num>
  <w:num w:numId="20">
    <w:abstractNumId w:val="11"/>
  </w:num>
  <w:num w:numId="21">
    <w:abstractNumId w:val="51"/>
  </w:num>
  <w:num w:numId="22">
    <w:abstractNumId w:val="95"/>
  </w:num>
  <w:num w:numId="23">
    <w:abstractNumId w:val="10"/>
  </w:num>
  <w:num w:numId="24">
    <w:abstractNumId w:val="76"/>
  </w:num>
  <w:num w:numId="25">
    <w:abstractNumId w:val="78"/>
  </w:num>
  <w:num w:numId="26">
    <w:abstractNumId w:val="69"/>
  </w:num>
  <w:num w:numId="27">
    <w:abstractNumId w:val="57"/>
  </w:num>
  <w:num w:numId="28">
    <w:abstractNumId w:val="53"/>
  </w:num>
  <w:num w:numId="29">
    <w:abstractNumId w:val="15"/>
  </w:num>
  <w:num w:numId="30">
    <w:abstractNumId w:val="22"/>
  </w:num>
  <w:num w:numId="31">
    <w:abstractNumId w:val="67"/>
  </w:num>
  <w:num w:numId="32">
    <w:abstractNumId w:val="9"/>
  </w:num>
  <w:num w:numId="33">
    <w:abstractNumId w:val="33"/>
  </w:num>
  <w:num w:numId="34">
    <w:abstractNumId w:val="77"/>
  </w:num>
  <w:num w:numId="35">
    <w:abstractNumId w:val="65"/>
  </w:num>
  <w:num w:numId="36">
    <w:abstractNumId w:val="27"/>
  </w:num>
  <w:num w:numId="37">
    <w:abstractNumId w:val="50"/>
  </w:num>
  <w:num w:numId="38">
    <w:abstractNumId w:val="73"/>
  </w:num>
  <w:num w:numId="39">
    <w:abstractNumId w:val="24"/>
  </w:num>
  <w:num w:numId="40">
    <w:abstractNumId w:val="93"/>
  </w:num>
  <w:num w:numId="41">
    <w:abstractNumId w:val="59"/>
  </w:num>
  <w:num w:numId="42">
    <w:abstractNumId w:val="30"/>
  </w:num>
  <w:num w:numId="43">
    <w:abstractNumId w:val="81"/>
  </w:num>
  <w:num w:numId="44">
    <w:abstractNumId w:val="5"/>
  </w:num>
  <w:num w:numId="45">
    <w:abstractNumId w:val="13"/>
  </w:num>
  <w:num w:numId="46">
    <w:abstractNumId w:val="40"/>
  </w:num>
  <w:num w:numId="47">
    <w:abstractNumId w:val="39"/>
  </w:num>
  <w:num w:numId="48">
    <w:abstractNumId w:val="44"/>
  </w:num>
  <w:num w:numId="49">
    <w:abstractNumId w:val="74"/>
  </w:num>
  <w:num w:numId="50">
    <w:abstractNumId w:val="75"/>
  </w:num>
  <w:num w:numId="51">
    <w:abstractNumId w:val="37"/>
  </w:num>
  <w:num w:numId="52">
    <w:abstractNumId w:val="29"/>
  </w:num>
  <w:num w:numId="53">
    <w:abstractNumId w:val="43"/>
  </w:num>
  <w:num w:numId="54">
    <w:abstractNumId w:val="91"/>
  </w:num>
  <w:num w:numId="55">
    <w:abstractNumId w:val="66"/>
  </w:num>
  <w:num w:numId="56">
    <w:abstractNumId w:val="56"/>
  </w:num>
  <w:num w:numId="57">
    <w:abstractNumId w:val="47"/>
  </w:num>
  <w:num w:numId="58">
    <w:abstractNumId w:val="16"/>
  </w:num>
  <w:num w:numId="59">
    <w:abstractNumId w:val="26"/>
  </w:num>
  <w:num w:numId="60">
    <w:abstractNumId w:val="12"/>
  </w:num>
  <w:num w:numId="61">
    <w:abstractNumId w:val="2"/>
  </w:num>
  <w:num w:numId="62">
    <w:abstractNumId w:val="82"/>
  </w:num>
  <w:num w:numId="63">
    <w:abstractNumId w:val="17"/>
  </w:num>
  <w:num w:numId="64">
    <w:abstractNumId w:val="84"/>
  </w:num>
  <w:num w:numId="65">
    <w:abstractNumId w:val="3"/>
  </w:num>
  <w:num w:numId="66">
    <w:abstractNumId w:val="38"/>
  </w:num>
  <w:num w:numId="67">
    <w:abstractNumId w:val="68"/>
  </w:num>
  <w:num w:numId="68">
    <w:abstractNumId w:val="1"/>
  </w:num>
  <w:num w:numId="69">
    <w:abstractNumId w:val="4"/>
  </w:num>
  <w:num w:numId="70">
    <w:abstractNumId w:val="80"/>
  </w:num>
  <w:num w:numId="71">
    <w:abstractNumId w:val="58"/>
  </w:num>
  <w:num w:numId="72">
    <w:abstractNumId w:val="83"/>
  </w:num>
  <w:num w:numId="73">
    <w:abstractNumId w:val="87"/>
  </w:num>
  <w:num w:numId="74">
    <w:abstractNumId w:val="19"/>
  </w:num>
  <w:num w:numId="75">
    <w:abstractNumId w:val="63"/>
  </w:num>
  <w:num w:numId="76">
    <w:abstractNumId w:val="31"/>
  </w:num>
  <w:num w:numId="77">
    <w:abstractNumId w:val="85"/>
  </w:num>
  <w:num w:numId="78">
    <w:abstractNumId w:val="20"/>
  </w:num>
  <w:num w:numId="79">
    <w:abstractNumId w:val="41"/>
  </w:num>
  <w:num w:numId="80">
    <w:abstractNumId w:val="62"/>
  </w:num>
  <w:num w:numId="81">
    <w:abstractNumId w:val="94"/>
  </w:num>
  <w:num w:numId="82">
    <w:abstractNumId w:val="71"/>
  </w:num>
  <w:num w:numId="83">
    <w:abstractNumId w:val="23"/>
  </w:num>
  <w:num w:numId="84">
    <w:abstractNumId w:val="21"/>
  </w:num>
  <w:num w:numId="85">
    <w:abstractNumId w:val="49"/>
  </w:num>
  <w:num w:numId="86">
    <w:abstractNumId w:val="88"/>
  </w:num>
  <w:num w:numId="87">
    <w:abstractNumId w:val="25"/>
  </w:num>
  <w:num w:numId="88">
    <w:abstractNumId w:val="72"/>
  </w:num>
  <w:num w:numId="89">
    <w:abstractNumId w:val="6"/>
  </w:num>
  <w:num w:numId="90">
    <w:abstractNumId w:val="79"/>
  </w:num>
  <w:num w:numId="91">
    <w:abstractNumId w:val="34"/>
  </w:num>
  <w:num w:numId="92">
    <w:abstractNumId w:val="54"/>
  </w:num>
  <w:num w:numId="93">
    <w:abstractNumId w:val="0"/>
  </w:num>
  <w:num w:numId="94">
    <w:abstractNumId w:val="55"/>
  </w:num>
  <w:num w:numId="95">
    <w:abstractNumId w:val="28"/>
  </w:num>
  <w:num w:numId="96">
    <w:abstractNumId w:val="18"/>
  </w:num>
  <w:num w:numId="97">
    <w:abstractNumId w:val="42"/>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B7"/>
    <w:rsid w:val="0006010B"/>
    <w:rsid w:val="00145D2B"/>
    <w:rsid w:val="00243E8E"/>
    <w:rsid w:val="0042350C"/>
    <w:rsid w:val="00474CC7"/>
    <w:rsid w:val="00817C94"/>
    <w:rsid w:val="00846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C1E7"/>
  <w15:chartTrackingRefBased/>
  <w15:docId w15:val="{42151352-E022-4F04-8CCD-A561095E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6CB7"/>
    <w:rPr>
      <w:rFonts w:ascii="Calibri" w:eastAsia="Calibri" w:hAnsi="Calibri" w:cs="Calibri"/>
      <w:lang w:eastAsia="pl-PL"/>
    </w:rPr>
  </w:style>
  <w:style w:type="paragraph" w:styleId="Nagwek1">
    <w:name w:val="heading 1"/>
    <w:basedOn w:val="Normalny"/>
    <w:next w:val="Normalny"/>
    <w:link w:val="Nagwek1Znak"/>
    <w:uiPriority w:val="9"/>
    <w:qFormat/>
    <w:rsid w:val="00846CB7"/>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link w:val="Nagwek2Znak"/>
    <w:uiPriority w:val="9"/>
    <w:semiHidden/>
    <w:unhideWhenUsed/>
    <w:qFormat/>
    <w:rsid w:val="00846CB7"/>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link w:val="Nagwek3Znak"/>
    <w:uiPriority w:val="9"/>
    <w:semiHidden/>
    <w:unhideWhenUsed/>
    <w:qFormat/>
    <w:rsid w:val="00846CB7"/>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link w:val="Nagwek4Znak"/>
    <w:uiPriority w:val="9"/>
    <w:semiHidden/>
    <w:unhideWhenUsed/>
    <w:qFormat/>
    <w:rsid w:val="00846CB7"/>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link w:val="Nagwek5Znak"/>
    <w:uiPriority w:val="9"/>
    <w:semiHidden/>
    <w:unhideWhenUsed/>
    <w:qFormat/>
    <w:rsid w:val="00846CB7"/>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link w:val="Nagwek6Znak"/>
    <w:uiPriority w:val="9"/>
    <w:semiHidden/>
    <w:unhideWhenUsed/>
    <w:qFormat/>
    <w:rsid w:val="00846CB7"/>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6CB7"/>
    <w:rPr>
      <w:rFonts w:ascii="Calibri" w:eastAsia="Calibri" w:hAnsi="Calibri" w:cs="Calibri"/>
      <w:b/>
      <w:color w:val="000000"/>
      <w:sz w:val="48"/>
      <w:szCs w:val="48"/>
      <w:lang w:eastAsia="pl-PL"/>
    </w:rPr>
  </w:style>
  <w:style w:type="character" w:customStyle="1" w:styleId="Nagwek2Znak">
    <w:name w:val="Nagłówek 2 Znak"/>
    <w:basedOn w:val="Domylnaczcionkaakapitu"/>
    <w:link w:val="Nagwek2"/>
    <w:uiPriority w:val="9"/>
    <w:semiHidden/>
    <w:rsid w:val="00846CB7"/>
    <w:rPr>
      <w:rFonts w:ascii="Calibri" w:eastAsia="Calibri" w:hAnsi="Calibri" w:cs="Calibri"/>
      <w:b/>
      <w:color w:val="000000"/>
      <w:sz w:val="36"/>
      <w:szCs w:val="36"/>
      <w:lang w:eastAsia="pl-PL"/>
    </w:rPr>
  </w:style>
  <w:style w:type="character" w:customStyle="1" w:styleId="Nagwek3Znak">
    <w:name w:val="Nagłówek 3 Znak"/>
    <w:basedOn w:val="Domylnaczcionkaakapitu"/>
    <w:link w:val="Nagwek3"/>
    <w:uiPriority w:val="9"/>
    <w:semiHidden/>
    <w:rsid w:val="00846CB7"/>
    <w:rPr>
      <w:rFonts w:ascii="Calibri" w:eastAsia="Calibri" w:hAnsi="Calibri" w:cs="Calibri"/>
      <w:b/>
      <w:color w:val="000000"/>
      <w:sz w:val="28"/>
      <w:szCs w:val="28"/>
      <w:lang w:eastAsia="pl-PL"/>
    </w:rPr>
  </w:style>
  <w:style w:type="character" w:customStyle="1" w:styleId="Nagwek4Znak">
    <w:name w:val="Nagłówek 4 Znak"/>
    <w:basedOn w:val="Domylnaczcionkaakapitu"/>
    <w:link w:val="Nagwek4"/>
    <w:uiPriority w:val="9"/>
    <w:semiHidden/>
    <w:rsid w:val="00846CB7"/>
    <w:rPr>
      <w:rFonts w:ascii="Calibri" w:eastAsia="Calibri" w:hAnsi="Calibri" w:cs="Calibri"/>
      <w:b/>
      <w:color w:val="000000"/>
      <w:sz w:val="24"/>
      <w:szCs w:val="24"/>
      <w:lang w:eastAsia="pl-PL"/>
    </w:rPr>
  </w:style>
  <w:style w:type="character" w:customStyle="1" w:styleId="Nagwek5Znak">
    <w:name w:val="Nagłówek 5 Znak"/>
    <w:basedOn w:val="Domylnaczcionkaakapitu"/>
    <w:link w:val="Nagwek5"/>
    <w:uiPriority w:val="9"/>
    <w:semiHidden/>
    <w:rsid w:val="00846CB7"/>
    <w:rPr>
      <w:rFonts w:ascii="Calibri" w:eastAsia="Calibri" w:hAnsi="Calibri" w:cs="Calibri"/>
      <w:b/>
      <w:color w:val="000000"/>
      <w:lang w:eastAsia="pl-PL"/>
    </w:rPr>
  </w:style>
  <w:style w:type="character" w:customStyle="1" w:styleId="Nagwek6Znak">
    <w:name w:val="Nagłówek 6 Znak"/>
    <w:basedOn w:val="Domylnaczcionkaakapitu"/>
    <w:link w:val="Nagwek6"/>
    <w:uiPriority w:val="9"/>
    <w:semiHidden/>
    <w:rsid w:val="00846CB7"/>
    <w:rPr>
      <w:rFonts w:ascii="Calibri" w:eastAsia="Calibri" w:hAnsi="Calibri" w:cs="Calibri"/>
      <w:b/>
      <w:color w:val="000000"/>
      <w:sz w:val="20"/>
      <w:szCs w:val="20"/>
      <w:lang w:eastAsia="pl-PL"/>
    </w:rPr>
  </w:style>
  <w:style w:type="table" w:customStyle="1" w:styleId="TableNormal">
    <w:name w:val="Table Normal"/>
    <w:rsid w:val="00846CB7"/>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uiPriority w:val="10"/>
    <w:qFormat/>
    <w:rsid w:val="00846CB7"/>
    <w:pPr>
      <w:keepNext/>
      <w:keepLines/>
      <w:pBdr>
        <w:top w:val="nil"/>
        <w:left w:val="nil"/>
        <w:bottom w:val="nil"/>
        <w:right w:val="nil"/>
        <w:between w:val="nil"/>
      </w:pBdr>
      <w:spacing w:before="480" w:after="120"/>
    </w:pPr>
    <w:rPr>
      <w:b/>
      <w:color w:val="000000"/>
      <w:sz w:val="72"/>
      <w:szCs w:val="72"/>
    </w:rPr>
  </w:style>
  <w:style w:type="character" w:customStyle="1" w:styleId="TytuZnak">
    <w:name w:val="Tytuł Znak"/>
    <w:basedOn w:val="Domylnaczcionkaakapitu"/>
    <w:link w:val="Tytu"/>
    <w:uiPriority w:val="10"/>
    <w:rsid w:val="00846CB7"/>
    <w:rPr>
      <w:rFonts w:ascii="Calibri" w:eastAsia="Calibri" w:hAnsi="Calibri" w:cs="Calibri"/>
      <w:b/>
      <w:color w:val="000000"/>
      <w:sz w:val="72"/>
      <w:szCs w:val="72"/>
      <w:lang w:eastAsia="pl-PL"/>
    </w:rPr>
  </w:style>
  <w:style w:type="numbering" w:customStyle="1" w:styleId="Bezlisty1">
    <w:name w:val="Bez listy1"/>
    <w:next w:val="Bezlisty"/>
    <w:uiPriority w:val="99"/>
    <w:semiHidden/>
    <w:unhideWhenUsed/>
    <w:rsid w:val="00846CB7"/>
  </w:style>
  <w:style w:type="table" w:customStyle="1" w:styleId="TableNormal3">
    <w:name w:val="Table Normal3"/>
    <w:rsid w:val="00846CB7"/>
    <w:rPr>
      <w:rFonts w:ascii="Calibri" w:eastAsia="Calibri" w:hAnsi="Calibri" w:cs="Calibri"/>
      <w:lang w:eastAsia="pl-PL"/>
    </w:rPr>
    <w:tblPr>
      <w:tblCellMar>
        <w:top w:w="0" w:type="dxa"/>
        <w:left w:w="0" w:type="dxa"/>
        <w:bottom w:w="0" w:type="dxa"/>
        <w:right w:w="0" w:type="dxa"/>
      </w:tblCellMar>
    </w:tblPr>
  </w:style>
  <w:style w:type="paragraph" w:styleId="Podtytu">
    <w:name w:val="Subtitle"/>
    <w:basedOn w:val="Normalny"/>
    <w:next w:val="Normalny"/>
    <w:link w:val="PodtytuZnak"/>
    <w:uiPriority w:val="11"/>
    <w:qFormat/>
    <w:rsid w:val="00846CB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846CB7"/>
    <w:rPr>
      <w:rFonts w:ascii="Georgia" w:eastAsia="Georgia" w:hAnsi="Georgia" w:cs="Georgia"/>
      <w:i/>
      <w:color w:val="666666"/>
      <w:sz w:val="48"/>
      <w:szCs w:val="48"/>
      <w:lang w:eastAsia="pl-PL"/>
    </w:rPr>
  </w:style>
  <w:style w:type="paragraph" w:styleId="Tekstkomentarza">
    <w:name w:val="annotation text"/>
    <w:basedOn w:val="Normalny"/>
    <w:link w:val="TekstkomentarzaZnak"/>
    <w:uiPriority w:val="99"/>
    <w:semiHidden/>
    <w:unhideWhenUsed/>
    <w:rsid w:val="00846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6CB7"/>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846CB7"/>
    <w:rPr>
      <w:sz w:val="16"/>
      <w:szCs w:val="16"/>
    </w:rPr>
  </w:style>
  <w:style w:type="paragraph" w:styleId="Tekstdymka">
    <w:name w:val="Balloon Text"/>
    <w:basedOn w:val="Normalny"/>
    <w:link w:val="TekstdymkaZnak"/>
    <w:uiPriority w:val="99"/>
    <w:semiHidden/>
    <w:unhideWhenUsed/>
    <w:rsid w:val="00846C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6CB7"/>
    <w:rPr>
      <w:rFonts w:ascii="Segoe UI" w:eastAsia="Calibri" w:hAnsi="Segoe UI" w:cs="Segoe UI"/>
      <w:sz w:val="18"/>
      <w:szCs w:val="18"/>
      <w:lang w:eastAsia="pl-PL"/>
    </w:rPr>
  </w:style>
  <w:style w:type="paragraph" w:styleId="Akapitzlist">
    <w:name w:val="List Paragraph"/>
    <w:basedOn w:val="Normalny"/>
    <w:uiPriority w:val="34"/>
    <w:qFormat/>
    <w:rsid w:val="00846CB7"/>
    <w:pPr>
      <w:ind w:left="720"/>
      <w:contextualSpacing/>
    </w:pPr>
  </w:style>
  <w:style w:type="table" w:customStyle="1" w:styleId="TableNormal1">
    <w:name w:val="Table Normal1"/>
    <w:rsid w:val="00846CB7"/>
    <w:rPr>
      <w:rFonts w:ascii="Calibri" w:eastAsia="Calibri" w:hAnsi="Calibri" w:cs="Calibri"/>
      <w:lang w:eastAsia="pl-PL"/>
    </w:rPr>
    <w:tblPr>
      <w:tblCellMar>
        <w:top w:w="0" w:type="dxa"/>
        <w:left w:w="0" w:type="dxa"/>
        <w:bottom w:w="0" w:type="dxa"/>
        <w:right w:w="0" w:type="dxa"/>
      </w:tblCellMar>
    </w:tblPr>
  </w:style>
  <w:style w:type="table" w:customStyle="1" w:styleId="TableNormal2">
    <w:name w:val="Table Normal2"/>
    <w:rsid w:val="00846CB7"/>
    <w:rPr>
      <w:rFonts w:ascii="Calibri" w:eastAsia="Calibri" w:hAnsi="Calibri" w:cs="Calibri"/>
      <w:lang w:eastAsia="pl-PL"/>
    </w:rPr>
    <w:tblPr>
      <w:tblCellMar>
        <w:top w:w="0" w:type="dxa"/>
        <w:left w:w="0" w:type="dxa"/>
        <w:bottom w:w="0" w:type="dxa"/>
        <w:right w:w="0" w:type="dxa"/>
      </w:tblCellMar>
    </w:tblPr>
  </w:style>
  <w:style w:type="paragraph" w:styleId="Stopka">
    <w:name w:val="footer"/>
    <w:basedOn w:val="Normalny"/>
    <w:link w:val="StopkaZnak"/>
    <w:uiPriority w:val="99"/>
    <w:unhideWhenUsed/>
    <w:rsid w:val="00846C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6CB7"/>
    <w:rPr>
      <w:rFonts w:ascii="Calibri" w:eastAsia="Calibri" w:hAnsi="Calibri" w:cs="Calibri"/>
      <w:lang w:eastAsia="pl-PL"/>
    </w:rPr>
  </w:style>
  <w:style w:type="character" w:styleId="Numerstrony">
    <w:name w:val="page number"/>
    <w:basedOn w:val="Domylnaczcionkaakapitu"/>
    <w:uiPriority w:val="99"/>
    <w:semiHidden/>
    <w:unhideWhenUsed/>
    <w:rsid w:val="00846CB7"/>
  </w:style>
  <w:style w:type="paragraph" w:styleId="Nagwek">
    <w:name w:val="header"/>
    <w:basedOn w:val="Normalny"/>
    <w:link w:val="NagwekZnak"/>
    <w:uiPriority w:val="99"/>
    <w:unhideWhenUsed/>
    <w:rsid w:val="00846C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6CB7"/>
    <w:rPr>
      <w:rFonts w:ascii="Calibri" w:eastAsia="Calibri" w:hAnsi="Calibri" w:cs="Calibri"/>
      <w:lang w:eastAsia="pl-PL"/>
    </w:rPr>
  </w:style>
  <w:style w:type="table" w:styleId="Tabela-Siatka">
    <w:name w:val="Table Grid"/>
    <w:basedOn w:val="Standardowy"/>
    <w:uiPriority w:val="39"/>
    <w:rsid w:val="00846CB7"/>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846CB7"/>
    <w:rPr>
      <w:b/>
      <w:bCs/>
    </w:rPr>
  </w:style>
  <w:style w:type="character" w:customStyle="1" w:styleId="TematkomentarzaZnak">
    <w:name w:val="Temat komentarza Znak"/>
    <w:basedOn w:val="TekstkomentarzaZnak"/>
    <w:link w:val="Tematkomentarza"/>
    <w:uiPriority w:val="99"/>
    <w:semiHidden/>
    <w:rsid w:val="00846CB7"/>
    <w:rPr>
      <w:rFonts w:ascii="Calibri" w:eastAsia="Calibri" w:hAnsi="Calibri" w:cs="Calibri"/>
      <w:b/>
      <w:bCs/>
      <w:sz w:val="20"/>
      <w:szCs w:val="20"/>
      <w:lang w:eastAsia="pl-PL"/>
    </w:rPr>
  </w:style>
  <w:style w:type="character" w:customStyle="1" w:styleId="Hipercze1">
    <w:name w:val="Hiperłącze1"/>
    <w:basedOn w:val="Domylnaczcionkaakapitu"/>
    <w:uiPriority w:val="99"/>
    <w:unhideWhenUsed/>
    <w:rsid w:val="00846CB7"/>
    <w:rPr>
      <w:color w:val="0000FF"/>
      <w:u w:val="single"/>
    </w:rPr>
  </w:style>
  <w:style w:type="character" w:customStyle="1" w:styleId="Nierozpoznanawzmianka1">
    <w:name w:val="Nierozpoznana wzmianka1"/>
    <w:basedOn w:val="Domylnaczcionkaakapitu"/>
    <w:uiPriority w:val="99"/>
    <w:semiHidden/>
    <w:unhideWhenUsed/>
    <w:rsid w:val="00846CB7"/>
    <w:rPr>
      <w:color w:val="605E5C"/>
      <w:shd w:val="clear" w:color="auto" w:fill="E1DFDD"/>
    </w:rPr>
  </w:style>
  <w:style w:type="paragraph" w:styleId="Poprawka">
    <w:name w:val="Revision"/>
    <w:hidden/>
    <w:uiPriority w:val="99"/>
    <w:semiHidden/>
    <w:rsid w:val="00846CB7"/>
    <w:pPr>
      <w:spacing w:after="0" w:line="240" w:lineRule="auto"/>
    </w:pPr>
    <w:rPr>
      <w:rFonts w:ascii="Calibri" w:eastAsia="Calibri" w:hAnsi="Calibri" w:cs="Calibri"/>
      <w:lang w:eastAsia="pl-PL"/>
    </w:rPr>
  </w:style>
  <w:style w:type="paragraph" w:styleId="Tekstprzypisukocowego">
    <w:name w:val="endnote text"/>
    <w:basedOn w:val="Normalny"/>
    <w:link w:val="TekstprzypisukocowegoZnak"/>
    <w:uiPriority w:val="99"/>
    <w:semiHidden/>
    <w:unhideWhenUsed/>
    <w:rsid w:val="00846CB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6CB7"/>
    <w:rPr>
      <w:rFonts w:ascii="Calibri" w:eastAsia="Calibri" w:hAnsi="Calibri" w:cs="Calibri"/>
      <w:sz w:val="20"/>
      <w:szCs w:val="20"/>
      <w:lang w:eastAsia="pl-PL"/>
    </w:rPr>
  </w:style>
  <w:style w:type="character" w:styleId="Odwoanieprzypisukocowego">
    <w:name w:val="endnote reference"/>
    <w:basedOn w:val="Domylnaczcionkaakapitu"/>
    <w:uiPriority w:val="99"/>
    <w:semiHidden/>
    <w:unhideWhenUsed/>
    <w:rsid w:val="00846CB7"/>
    <w:rPr>
      <w:vertAlign w:val="superscript"/>
    </w:rPr>
  </w:style>
  <w:style w:type="character" w:customStyle="1" w:styleId="Nierozpoznanawzmianka2">
    <w:name w:val="Nierozpoznana wzmianka2"/>
    <w:basedOn w:val="Domylnaczcionkaakapitu"/>
    <w:uiPriority w:val="99"/>
    <w:semiHidden/>
    <w:unhideWhenUsed/>
    <w:rsid w:val="00846CB7"/>
    <w:rPr>
      <w:color w:val="605E5C"/>
      <w:shd w:val="clear" w:color="auto" w:fill="E1DFDD"/>
    </w:rPr>
  </w:style>
  <w:style w:type="paragraph" w:customStyle="1" w:styleId="Default">
    <w:name w:val="Default"/>
    <w:rsid w:val="00846CB7"/>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dolnego">
    <w:name w:val="footnote text"/>
    <w:basedOn w:val="Normalny"/>
    <w:link w:val="TekstprzypisudolnegoZnak"/>
    <w:uiPriority w:val="99"/>
    <w:semiHidden/>
    <w:unhideWhenUsed/>
    <w:rsid w:val="00846CB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6CB7"/>
    <w:rPr>
      <w:rFonts w:ascii="Calibri" w:eastAsia="Calibri" w:hAnsi="Calibri" w:cs="Calibri"/>
      <w:sz w:val="20"/>
      <w:szCs w:val="20"/>
      <w:lang w:eastAsia="pl-PL"/>
    </w:rPr>
  </w:style>
  <w:style w:type="character" w:styleId="Odwoanieprzypisudolnego">
    <w:name w:val="footnote reference"/>
    <w:basedOn w:val="Domylnaczcionkaakapitu"/>
    <w:uiPriority w:val="99"/>
    <w:semiHidden/>
    <w:unhideWhenUsed/>
    <w:rsid w:val="00846CB7"/>
    <w:rPr>
      <w:vertAlign w:val="superscript"/>
    </w:rPr>
  </w:style>
  <w:style w:type="character" w:customStyle="1" w:styleId="UyteHipercze1">
    <w:name w:val="UżyteHiperłącze1"/>
    <w:basedOn w:val="Domylnaczcionkaakapitu"/>
    <w:uiPriority w:val="99"/>
    <w:semiHidden/>
    <w:unhideWhenUsed/>
    <w:rsid w:val="00846CB7"/>
    <w:rPr>
      <w:color w:val="800080"/>
      <w:u w:val="single"/>
    </w:rPr>
  </w:style>
  <w:style w:type="paragraph" w:styleId="NormalnyWeb">
    <w:name w:val="Normal (Web)"/>
    <w:basedOn w:val="Normalny"/>
    <w:uiPriority w:val="99"/>
    <w:semiHidden/>
    <w:unhideWhenUsed/>
    <w:rsid w:val="00846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p-course-modalcourse-id">
    <w:name w:val="cmp-course-modal__course-id"/>
    <w:basedOn w:val="Domylnaczcionkaakapitu"/>
    <w:rsid w:val="00846CB7"/>
  </w:style>
  <w:style w:type="character" w:customStyle="1" w:styleId="cmp-course-modalcredits">
    <w:name w:val="cmp-course-modal__credits"/>
    <w:basedOn w:val="Domylnaczcionkaakapitu"/>
    <w:rsid w:val="00846CB7"/>
  </w:style>
  <w:style w:type="paragraph" w:customStyle="1" w:styleId="cmp-course-modaldescription">
    <w:name w:val="cmp-course-modal__description"/>
    <w:basedOn w:val="Normalny"/>
    <w:rsid w:val="00846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tetitle">
    <w:name w:val="rtetitle"/>
    <w:basedOn w:val="Domylnaczcionkaakapitu"/>
    <w:rsid w:val="00846CB7"/>
  </w:style>
  <w:style w:type="table" w:customStyle="1" w:styleId="Tabela-Siatka1">
    <w:name w:val="Tabela - Siatka1"/>
    <w:basedOn w:val="Standardowy"/>
    <w:next w:val="Tabela-Siatka"/>
    <w:uiPriority w:val="39"/>
    <w:rsid w:val="00846CB7"/>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846CB7"/>
    <w:rPr>
      <w:color w:val="0563C1" w:themeColor="hyperlink"/>
      <w:u w:val="single"/>
    </w:rPr>
  </w:style>
  <w:style w:type="character" w:styleId="UyteHipercze">
    <w:name w:val="FollowedHyperlink"/>
    <w:basedOn w:val="Domylnaczcionkaakapitu"/>
    <w:uiPriority w:val="99"/>
    <w:semiHidden/>
    <w:unhideWhenUsed/>
    <w:rsid w:val="00846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40537-022-00610-6" TargetMode="External"/><Relationship Id="rId3" Type="http://schemas.openxmlformats.org/officeDocument/2006/relationships/settings" Target="settings.xml"/><Relationship Id="rId7" Type="http://schemas.openxmlformats.org/officeDocument/2006/relationships/hyperlink" Target="https://doi.org/10.1186/s40537-022-0061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31786</Words>
  <Characters>190721</Characters>
  <Application>Microsoft Office Word</Application>
  <DocSecurity>0</DocSecurity>
  <Lines>1589</Lines>
  <Paragraphs>444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A.Parmee</dc:creator>
  <cp:keywords/>
  <dc:description/>
  <cp:lastModifiedBy>A.Parmee</cp:lastModifiedBy>
  <cp:revision>3</cp:revision>
  <dcterms:created xsi:type="dcterms:W3CDTF">2022-10-12T06:28:00Z</dcterms:created>
  <dcterms:modified xsi:type="dcterms:W3CDTF">2022-10-18T07:10:00Z</dcterms:modified>
</cp:coreProperties>
</file>