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FE8A55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70D62">
        <w:rPr>
          <w:rFonts w:ascii="Arial" w:eastAsia="Arial" w:hAnsi="Arial" w:cs="Arial"/>
          <w:b/>
          <w:sz w:val="24"/>
          <w:szCs w:val="24"/>
        </w:rPr>
        <w:t>71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085F97" w14:textId="77777777" w:rsidR="00D706E8" w:rsidRDefault="00D706E8" w:rsidP="00D706E8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14B2BC90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B0655">
        <w:rPr>
          <w:rFonts w:ascii="Arial" w:eastAsia="Arial" w:hAnsi="Arial" w:cs="Arial"/>
          <w:sz w:val="24"/>
          <w:szCs w:val="24"/>
        </w:rPr>
        <w:t>1</w:t>
      </w:r>
      <w:r w:rsidR="00D034B5">
        <w:rPr>
          <w:rFonts w:ascii="Arial" w:eastAsia="Arial" w:hAnsi="Arial" w:cs="Arial"/>
          <w:sz w:val="24"/>
          <w:szCs w:val="24"/>
        </w:rPr>
        <w:t>4</w:t>
      </w:r>
      <w:r w:rsidR="009B0655">
        <w:rPr>
          <w:rFonts w:ascii="Arial" w:eastAsia="Arial" w:hAnsi="Arial" w:cs="Arial"/>
          <w:sz w:val="24"/>
          <w:szCs w:val="24"/>
        </w:rPr>
        <w:t xml:space="preserve"> </w:t>
      </w:r>
      <w:r w:rsidR="00E40BAE">
        <w:rPr>
          <w:rFonts w:ascii="Arial" w:eastAsia="Arial" w:hAnsi="Arial" w:cs="Arial"/>
          <w:sz w:val="24"/>
          <w:szCs w:val="24"/>
        </w:rPr>
        <w:t>grudnia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29F3CA99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B0655">
        <w:rPr>
          <w:rFonts w:ascii="Times New Roman" w:hAnsi="Times New Roman"/>
          <w:sz w:val="16"/>
          <w:szCs w:val="16"/>
        </w:rPr>
        <w:t>1</w:t>
      </w:r>
      <w:r w:rsidR="00D242F5">
        <w:rPr>
          <w:rFonts w:ascii="Times New Roman" w:hAnsi="Times New Roman"/>
          <w:sz w:val="16"/>
          <w:szCs w:val="16"/>
        </w:rPr>
        <w:t>4</w:t>
      </w:r>
      <w:r w:rsidR="00D706E8">
        <w:rPr>
          <w:rFonts w:ascii="Times New Roman" w:hAnsi="Times New Roman"/>
          <w:sz w:val="16"/>
          <w:szCs w:val="16"/>
        </w:rPr>
        <w:t>/12/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D706E8">
        <w:rPr>
          <w:rFonts w:ascii="Times New Roman" w:hAnsi="Times New Roman"/>
          <w:sz w:val="16"/>
          <w:szCs w:val="16"/>
        </w:rPr>
        <w:t>72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6E9672C0" w:rsidR="00D139B4" w:rsidRDefault="00D706E8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D139B4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3B624FAF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t>Polityka Kulturalna i Zarządzanie w Kulturze,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br/>
        <w:t>Polityka publiczna,</w:t>
      </w:r>
      <w:r w:rsidR="00E40BAE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762ABFD5" w14:textId="77777777" w:rsidR="0085578D" w:rsidRDefault="0085578D" w:rsidP="0085578D">
      <w:pPr>
        <w:pStyle w:val="Legenda"/>
        <w:keepNext/>
      </w:pPr>
    </w:p>
    <w:p w14:paraId="23DE5279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931"/>
        <w:gridCol w:w="3292"/>
      </w:tblGrid>
      <w:tr w:rsidR="00D40AB7" w14:paraId="089662E5" w14:textId="77777777" w:rsidTr="00D40AB7">
        <w:trPr>
          <w:trHeight w:val="618"/>
        </w:trPr>
        <w:tc>
          <w:tcPr>
            <w:tcW w:w="1696" w:type="dxa"/>
          </w:tcPr>
          <w:p w14:paraId="46B578EF" w14:textId="4C8BC45A" w:rsidR="00D40AB7" w:rsidRPr="00D40AB7" w:rsidRDefault="00D40AB7" w:rsidP="00774ABA">
            <w:pPr>
              <w:rPr>
                <w:rFonts w:cs="Calibri"/>
                <w:b/>
                <w:color w:val="000000"/>
              </w:rPr>
            </w:pPr>
            <w:r w:rsidRPr="00D40AB7">
              <w:rPr>
                <w:rFonts w:cs="Calibri"/>
                <w:b/>
                <w:color w:val="000000"/>
              </w:rPr>
              <w:t>Nr indeksu</w:t>
            </w:r>
          </w:p>
        </w:tc>
        <w:tc>
          <w:tcPr>
            <w:tcW w:w="8931" w:type="dxa"/>
          </w:tcPr>
          <w:p w14:paraId="3AED38B3" w14:textId="0299CDE7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292" w:type="dxa"/>
          </w:tcPr>
          <w:p w14:paraId="39A4F6A1" w14:textId="2DFEF914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77E539" w14:textId="77777777" w:rsidTr="00D40AB7">
        <w:trPr>
          <w:trHeight w:val="618"/>
        </w:trPr>
        <w:tc>
          <w:tcPr>
            <w:tcW w:w="1696" w:type="dxa"/>
          </w:tcPr>
          <w:p w14:paraId="230EA01C" w14:textId="4E18E998" w:rsidR="00D40AB7" w:rsidRPr="004D26FB" w:rsidRDefault="00D706E8" w:rsidP="00774ABA">
            <w:pPr>
              <w:rPr>
                <w:rFonts w:cstheme="minorHAnsi"/>
              </w:rPr>
            </w:pPr>
            <w:r w:rsidRPr="00D706E8">
              <w:rPr>
                <w:rFonts w:cs="Calibri"/>
                <w:color w:val="000000"/>
              </w:rPr>
              <w:t>388773</w:t>
            </w:r>
          </w:p>
        </w:tc>
        <w:tc>
          <w:tcPr>
            <w:tcW w:w="8931" w:type="dxa"/>
          </w:tcPr>
          <w:p w14:paraId="2C30E299" w14:textId="71510271" w:rsidR="00D40AB7" w:rsidRPr="00D706E8" w:rsidRDefault="00D706E8" w:rsidP="00D706E8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D706E8">
              <w:rPr>
                <w:rFonts w:eastAsia="Times New Roman" w:cstheme="minorHAnsi"/>
                <w:color w:val="222222"/>
                <w:lang w:eastAsia="pl-PL"/>
              </w:rPr>
              <w:t>Polityka Litwy wobec białoruskiej opozycji w latach 2004-2022</w:t>
            </w:r>
          </w:p>
        </w:tc>
        <w:tc>
          <w:tcPr>
            <w:tcW w:w="3292" w:type="dxa"/>
          </w:tcPr>
          <w:p w14:paraId="6A71CAA4" w14:textId="417341B1" w:rsidR="00D40AB7" w:rsidRPr="004D26FB" w:rsidRDefault="00D706E8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A. Wierzbicki</w:t>
            </w:r>
          </w:p>
        </w:tc>
      </w:tr>
    </w:tbl>
    <w:p w14:paraId="54A187E8" w14:textId="77777777" w:rsidR="00D40AB7" w:rsidRDefault="00D40AB7" w:rsidP="00D40AB7"/>
    <w:p w14:paraId="53E7C511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II stopnia</w:t>
      </w:r>
    </w:p>
    <w:p w14:paraId="7D800BB1" w14:textId="77777777" w:rsidR="00D40AB7" w:rsidRDefault="00D40AB7" w:rsidP="00D40AB7"/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6"/>
        <w:gridCol w:w="8931"/>
        <w:gridCol w:w="3369"/>
      </w:tblGrid>
      <w:tr w:rsidR="00D40AB7" w14:paraId="5BC467BA" w14:textId="77777777" w:rsidTr="00D40AB7">
        <w:trPr>
          <w:trHeight w:val="705"/>
        </w:trPr>
        <w:tc>
          <w:tcPr>
            <w:tcW w:w="1696" w:type="dxa"/>
          </w:tcPr>
          <w:p w14:paraId="2527A838" w14:textId="53455F5D" w:rsidR="00D40AB7" w:rsidRPr="00D40AB7" w:rsidRDefault="00D40AB7" w:rsidP="00774ABA">
            <w:pPr>
              <w:rPr>
                <w:rFonts w:cs="Calibri"/>
                <w:b/>
              </w:rPr>
            </w:pPr>
            <w:r w:rsidRPr="00D40AB7">
              <w:rPr>
                <w:rFonts w:cs="Calibri"/>
                <w:b/>
              </w:rPr>
              <w:t>Nr indeksu</w:t>
            </w:r>
          </w:p>
        </w:tc>
        <w:tc>
          <w:tcPr>
            <w:tcW w:w="8931" w:type="dxa"/>
          </w:tcPr>
          <w:p w14:paraId="7D6D2E47" w14:textId="1CF49C0A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369" w:type="dxa"/>
          </w:tcPr>
          <w:p w14:paraId="60955400" w14:textId="4DEEB836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BA4102" w14:textId="77777777" w:rsidTr="00D40AB7">
        <w:trPr>
          <w:trHeight w:val="705"/>
        </w:trPr>
        <w:tc>
          <w:tcPr>
            <w:tcW w:w="1696" w:type="dxa"/>
          </w:tcPr>
          <w:p w14:paraId="344D826F" w14:textId="10C5EFBC" w:rsidR="00D40AB7" w:rsidRPr="004D26FB" w:rsidRDefault="00D706E8" w:rsidP="00774ABA">
            <w:pPr>
              <w:rPr>
                <w:rFonts w:cstheme="minorHAnsi"/>
              </w:rPr>
            </w:pPr>
            <w:r w:rsidRPr="00D706E8">
              <w:rPr>
                <w:rFonts w:cstheme="minorHAnsi"/>
              </w:rPr>
              <w:t>375173</w:t>
            </w:r>
          </w:p>
        </w:tc>
        <w:tc>
          <w:tcPr>
            <w:tcW w:w="8931" w:type="dxa"/>
          </w:tcPr>
          <w:p w14:paraId="56A49A96" w14:textId="50A908C5" w:rsidR="00D40AB7" w:rsidRPr="004D26FB" w:rsidRDefault="00D706E8" w:rsidP="00774ABA">
            <w:pPr>
              <w:rPr>
                <w:rFonts w:cstheme="minorHAnsi"/>
              </w:rPr>
            </w:pPr>
            <w:r w:rsidRPr="00D706E8">
              <w:rPr>
                <w:rFonts w:eastAsia="Times New Roman" w:cstheme="minorHAnsi"/>
                <w:color w:val="222222"/>
                <w:lang w:eastAsia="pl-PL"/>
              </w:rPr>
              <w:t xml:space="preserve">Czynnik amerykański w polityce bezpieczeństwa Japonii po zakończeniu zimnej wojny </w:t>
            </w:r>
          </w:p>
        </w:tc>
        <w:tc>
          <w:tcPr>
            <w:tcW w:w="3369" w:type="dxa"/>
          </w:tcPr>
          <w:p w14:paraId="03CB564C" w14:textId="30C5A68A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D40AB7" w14:paraId="1FDEEDDF" w14:textId="77777777" w:rsidTr="00D40AB7">
        <w:trPr>
          <w:trHeight w:val="549"/>
        </w:trPr>
        <w:tc>
          <w:tcPr>
            <w:tcW w:w="1696" w:type="dxa"/>
          </w:tcPr>
          <w:p w14:paraId="465CA153" w14:textId="3DBF2647" w:rsidR="00D40AB7" w:rsidRPr="004D26FB" w:rsidRDefault="00D706E8" w:rsidP="00774ABA">
            <w:pPr>
              <w:rPr>
                <w:rFonts w:cstheme="minorHAnsi"/>
              </w:rPr>
            </w:pPr>
            <w:r w:rsidRPr="00D706E8">
              <w:rPr>
                <w:rFonts w:cstheme="minorHAnsi"/>
              </w:rPr>
              <w:t>433018</w:t>
            </w:r>
          </w:p>
        </w:tc>
        <w:tc>
          <w:tcPr>
            <w:tcW w:w="8931" w:type="dxa"/>
          </w:tcPr>
          <w:p w14:paraId="480E28C5" w14:textId="3ED5B995" w:rsidR="00D40AB7" w:rsidRPr="004D26FB" w:rsidRDefault="00D706E8" w:rsidP="00774ABA">
            <w:pPr>
              <w:rPr>
                <w:rFonts w:cstheme="minorHAnsi"/>
              </w:rPr>
            </w:pPr>
            <w:r w:rsidRPr="00D706E8">
              <w:rPr>
                <w:rFonts w:eastAsia="Times New Roman" w:cstheme="minorHAnsi"/>
                <w:color w:val="222222"/>
                <w:lang w:eastAsia="pl-PL"/>
              </w:rPr>
              <w:t xml:space="preserve">Ewolucja polityki handlowej Republiki Korei wobec Unii Europejskiej po 2000 roku </w:t>
            </w:r>
          </w:p>
        </w:tc>
        <w:tc>
          <w:tcPr>
            <w:tcW w:w="3369" w:type="dxa"/>
          </w:tcPr>
          <w:p w14:paraId="623ED785" w14:textId="46A8614B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E82999" w14:paraId="38A803AC" w14:textId="77777777" w:rsidTr="00D40AB7">
        <w:trPr>
          <w:trHeight w:val="549"/>
        </w:trPr>
        <w:tc>
          <w:tcPr>
            <w:tcW w:w="1696" w:type="dxa"/>
          </w:tcPr>
          <w:p w14:paraId="58F86B07" w14:textId="138D7C3A" w:rsidR="00E82999" w:rsidRPr="00D706E8" w:rsidRDefault="00E82999" w:rsidP="00774ABA">
            <w:pPr>
              <w:rPr>
                <w:rFonts w:cstheme="minorHAnsi"/>
              </w:rPr>
            </w:pPr>
            <w:r w:rsidRPr="00E82999">
              <w:rPr>
                <w:rFonts w:cstheme="minorHAnsi"/>
              </w:rPr>
              <w:t>398538</w:t>
            </w:r>
          </w:p>
        </w:tc>
        <w:tc>
          <w:tcPr>
            <w:tcW w:w="8931" w:type="dxa"/>
          </w:tcPr>
          <w:p w14:paraId="4D2ED69D" w14:textId="56F2D665" w:rsidR="00E82999" w:rsidRPr="00D706E8" w:rsidRDefault="00E82999" w:rsidP="00774ABA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E82999">
              <w:rPr>
                <w:rFonts w:eastAsia="Times New Roman" w:cstheme="minorHAnsi"/>
                <w:color w:val="222222"/>
                <w:lang w:eastAsia="pl-PL"/>
              </w:rPr>
              <w:t>Stanowisko Stanów Zjednoczonych i Rosji wobec wydarzeń Arabskiej Wiosny</w:t>
            </w:r>
          </w:p>
        </w:tc>
        <w:tc>
          <w:tcPr>
            <w:tcW w:w="3369" w:type="dxa"/>
          </w:tcPr>
          <w:p w14:paraId="18EC3488" w14:textId="493AB586" w:rsidR="00E82999" w:rsidRDefault="00E82999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Dariusz Popławski</w:t>
            </w:r>
          </w:p>
        </w:tc>
      </w:tr>
    </w:tbl>
    <w:p w14:paraId="0F9227C0" w14:textId="55B8C06F" w:rsidR="00BC60ED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C7EF" w14:textId="77777777" w:rsidR="00386E71" w:rsidRDefault="00386E71" w:rsidP="00ED051E">
      <w:pPr>
        <w:spacing w:after="0" w:line="240" w:lineRule="auto"/>
      </w:pPr>
      <w:r>
        <w:separator/>
      </w:r>
    </w:p>
  </w:endnote>
  <w:endnote w:type="continuationSeparator" w:id="0">
    <w:p w14:paraId="3875847D" w14:textId="77777777" w:rsidR="00386E71" w:rsidRDefault="00386E7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4A27" w14:textId="77777777" w:rsidR="00386E71" w:rsidRDefault="00386E71" w:rsidP="00ED051E">
      <w:pPr>
        <w:spacing w:after="0" w:line="240" w:lineRule="auto"/>
      </w:pPr>
      <w:r>
        <w:separator/>
      </w:r>
    </w:p>
  </w:footnote>
  <w:footnote w:type="continuationSeparator" w:id="0">
    <w:p w14:paraId="14AEA751" w14:textId="77777777" w:rsidR="00386E71" w:rsidRDefault="00386E7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0BAE"/>
    <w:rsid w:val="00E4156C"/>
    <w:rsid w:val="00E448B0"/>
    <w:rsid w:val="00E629B5"/>
    <w:rsid w:val="00E757E9"/>
    <w:rsid w:val="00E76079"/>
    <w:rsid w:val="00E8299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910CA-CD41-4F77-BE61-8E3ED7B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2023-01-26T14:25:00Z</cp:lastPrinted>
  <dcterms:created xsi:type="dcterms:W3CDTF">2023-12-12T15:52:00Z</dcterms:created>
  <dcterms:modified xsi:type="dcterms:W3CDTF">2023-12-14T12:50:00Z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