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70" w:rsidRDefault="003130A2"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2278950" y="3394550"/>
                            <a:chExt cx="6134100" cy="770900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2278950" y="3394550"/>
                              <a:ext cx="6134100" cy="770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13E70" w:rsidRDefault="00313E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a 4"/>
                          <wpg:cNvGrpSpPr/>
                          <wpg:grpSpPr>
                            <a:xfrm>
                              <a:off x="2278950" y="3394555"/>
                              <a:ext cx="6134100" cy="770890"/>
                              <a:chOff x="0" y="0"/>
                              <a:chExt cx="6134100" cy="770890"/>
                            </a:xfrm>
                          </wpg:grpSpPr>
                          <wps:wsp>
                            <wps:cNvPr id="5" name="Prostokąt 5"/>
                            <wps:cNvSpPr/>
                            <wps:spPr>
                              <a:xfrm>
                                <a:off x="0" y="0"/>
                                <a:ext cx="6134100" cy="770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3E70" w:rsidRDefault="00313E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877695" cy="770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" name="Prostokąt 6"/>
                            <wps:cNvSpPr/>
                            <wps:spPr>
                              <a:xfrm>
                                <a:off x="2019300" y="161925"/>
                                <a:ext cx="4114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3E70" w:rsidRDefault="003130A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mallCaps/>
                                      <w:color w:val="000000"/>
                                      <w:sz w:val="24"/>
                                    </w:rPr>
                                    <w:t>DZIENNIK UNIWERSYTETU WARSZAWSKIEGO</w:t>
                                  </w:r>
                                </w:p>
                                <w:p w:rsidR="00313E70" w:rsidRDefault="003130A2">
                                  <w:pPr>
                                    <w:spacing w:after="0" w:line="240" w:lineRule="auto"/>
                                    <w:ind w:left="1275" w:firstLine="1275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</w:rPr>
                                    <w:t>RADY DYDAKTYCZNE</w:t>
                                  </w:r>
                                </w:p>
                                <w:p w:rsidR="00313E70" w:rsidRDefault="00313E70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8" name="Grupa 8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2278950" y="3394550"/>
                            <a:chExt cx="6134100" cy="770900"/>
                          </a:xfrm>
                        </wpg:grpSpPr>
                        <wps:wsp>
                          <wps:cNvPr id="9" name="Prostokąt 9"/>
                          <wps:cNvSpPr/>
                          <wps:spPr>
                            <a:xfrm>
                              <a:off x="2278950" y="3394550"/>
                              <a:ext cx="6134100" cy="770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13E70" w:rsidRDefault="00313E7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" name="Grupa 10"/>
                          <wpg:cNvGrpSpPr/>
                          <wpg:grpSpPr>
                            <a:xfrm>
                              <a:off x="2278950" y="3394555"/>
                              <a:ext cx="6134100" cy="770890"/>
                              <a:chOff x="0" y="0"/>
                              <a:chExt cx="6134100" cy="770890"/>
                            </a:xfrm>
                          </wpg:grpSpPr>
                          <wps:wsp>
                            <wps:cNvPr id="12" name="Prostokąt 12"/>
                            <wps:cNvSpPr/>
                            <wps:spPr>
                              <a:xfrm>
                                <a:off x="0" y="0"/>
                                <a:ext cx="6134100" cy="770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3E70" w:rsidRDefault="00313E7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" name="Shape 6"/>
                              <pic:cNvPicPr preferRelativeResize="0"/>
                            </pic:nvPicPr>
                            <pic:blipFill rotWithShape="1">
                              <a:blip r:embed="rId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877695" cy="770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4" name="Prostokąt 14"/>
                            <wps:cNvSpPr/>
                            <wps:spPr>
                              <a:xfrm>
                                <a:off x="2019300" y="161925"/>
                                <a:ext cx="4114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3E70" w:rsidRPr="003130A2" w:rsidRDefault="003130A2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lang w:val="pl-PL"/>
                                    </w:rPr>
                                  </w:pPr>
                                  <w:r w:rsidRPr="003130A2">
                                    <w:rPr>
                                      <w:rFonts w:ascii="Arial" w:eastAsia="Arial" w:hAnsi="Arial" w:cs="Arial"/>
                                      <w:b/>
                                      <w:smallCaps/>
                                      <w:color w:val="000000"/>
                                      <w:sz w:val="24"/>
                                      <w:lang w:val="pl-PL"/>
                                    </w:rPr>
                                    <w:t>DZIENNIK UNIWERSYTETU WARSZAWSKIEGO</w:t>
                                  </w:r>
                                </w:p>
                                <w:p w:rsidR="00313E70" w:rsidRPr="003130A2" w:rsidRDefault="003130A2">
                                  <w:pPr>
                                    <w:spacing w:after="0" w:line="240" w:lineRule="auto"/>
                                    <w:ind w:left="1275" w:firstLine="1275"/>
                                    <w:textDirection w:val="btLr"/>
                                    <w:rPr>
                                      <w:lang w:val="pl-PL"/>
                                    </w:rPr>
                                  </w:pPr>
                                  <w:r w:rsidRPr="003130A2">
                                    <w:rPr>
                                      <w:rFonts w:ascii="Arial" w:eastAsia="Arial" w:hAnsi="Arial" w:cs="Arial"/>
                                      <w:color w:val="000000"/>
                                      <w:sz w:val="24"/>
                                      <w:lang w:val="pl-PL"/>
                                    </w:rPr>
                                    <w:t>RADY DYDAKTYCZNE DLA KIERUNKÓW STUDIÓW</w:t>
                                  </w:r>
                                </w:p>
                                <w:p w:rsidR="00313E70" w:rsidRPr="003130A2" w:rsidRDefault="00313E70">
                                  <w:pPr>
                                    <w:spacing w:line="258" w:lineRule="auto"/>
                                    <w:textDirection w:val="btLr"/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13E70" w:rsidRDefault="00313E70"/>
    <w:p w:rsidR="00313E70" w:rsidRDefault="003130A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313E70" w:rsidRDefault="00313E7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13E70" w:rsidRDefault="003130A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UCHWAŁA NR 2/2024</w:t>
      </w:r>
    </w:p>
    <w:p w:rsidR="00313E70" w:rsidRDefault="00313E7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13E70" w:rsidRDefault="003130A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EUROPEAN POLITICS AND ECONOMICS, GRADUATE PROGRAMME IN INTERNATIONAL RELATIONS, GRADUATE PROGRAMME IN POLITICAL SCIENCE, SOCIAL AND PUBLIC POLICY,UNDERGRADUATE PROGRAMME IN INTERNATIONAL RELATIONS, UNDERGRADUATE PROGRAMME IN POLITICAL SCIENCE, SOCIAL AND P</w:t>
      </w:r>
      <w:r>
        <w:rPr>
          <w:rFonts w:ascii="Arial" w:eastAsia="Arial" w:hAnsi="Arial" w:cs="Arial"/>
          <w:b/>
          <w:sz w:val="24"/>
          <w:szCs w:val="24"/>
        </w:rPr>
        <w:t>UBLIC POLICY</w:t>
      </w:r>
    </w:p>
    <w:p w:rsidR="00313E70" w:rsidRPr="003130A2" w:rsidRDefault="003130A2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3130A2">
        <w:rPr>
          <w:rFonts w:ascii="Arial" w:eastAsia="Arial" w:hAnsi="Arial" w:cs="Arial"/>
          <w:sz w:val="24"/>
          <w:szCs w:val="24"/>
          <w:lang w:val="pl-PL"/>
        </w:rPr>
        <w:t>z dnia 18 stycznia 2024 r.</w:t>
      </w:r>
    </w:p>
    <w:p w:rsidR="00313E70" w:rsidRPr="003130A2" w:rsidRDefault="003130A2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  <w:lang w:val="pl-PL"/>
        </w:rPr>
      </w:pPr>
      <w:r w:rsidRPr="003130A2">
        <w:rPr>
          <w:rFonts w:ascii="Arial" w:eastAsia="Arial" w:hAnsi="Arial" w:cs="Arial"/>
          <w:b/>
          <w:sz w:val="24"/>
          <w:szCs w:val="24"/>
          <w:lang w:val="pl-PL"/>
        </w:rPr>
        <w:t xml:space="preserve">w  sprawie zatwierdzenia tematów prac dyplomowych na kierunku </w:t>
      </w:r>
      <w:r w:rsidRPr="003130A2">
        <w:rPr>
          <w:rFonts w:ascii="Arial" w:eastAsia="Arial" w:hAnsi="Arial" w:cs="Arial"/>
          <w:b/>
          <w:sz w:val="24"/>
          <w:szCs w:val="24"/>
          <w:lang w:val="pl-PL"/>
        </w:rPr>
        <w:br/>
        <w:t>Graduate Programme in International Relations</w:t>
      </w:r>
    </w:p>
    <w:p w:rsidR="00313E70" w:rsidRPr="003130A2" w:rsidRDefault="003130A2">
      <w:pPr>
        <w:spacing w:before="120"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3130A2">
        <w:rPr>
          <w:rFonts w:ascii="Arial" w:eastAsia="Arial" w:hAnsi="Arial" w:cs="Arial"/>
          <w:sz w:val="24"/>
          <w:szCs w:val="24"/>
          <w:lang w:val="pl-PL"/>
        </w:rPr>
        <w:t>Na podstawie uchwały nr 35/2020 Rady Dydaktycznej WNPISM UW z dnia 19 lipca 2020 r. w sprawie szczegółowych</w:t>
      </w:r>
      <w:r w:rsidRPr="003130A2">
        <w:rPr>
          <w:rFonts w:ascii="Arial" w:eastAsia="Arial" w:hAnsi="Arial" w:cs="Arial"/>
          <w:sz w:val="24"/>
          <w:szCs w:val="24"/>
          <w:lang w:val="pl-PL"/>
        </w:rPr>
        <w:t xml:space="preserve"> zasad procesu dyplomowania na kierunku Graduate Programme in International Relations Rada Dydaktyczna postanawia, co następuje:</w:t>
      </w:r>
    </w:p>
    <w:p w:rsidR="00313E70" w:rsidRPr="003130A2" w:rsidRDefault="003130A2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3130A2">
        <w:rPr>
          <w:rFonts w:ascii="Arial" w:eastAsia="Arial" w:hAnsi="Arial" w:cs="Arial"/>
          <w:sz w:val="24"/>
          <w:szCs w:val="24"/>
          <w:lang w:val="pl-PL"/>
        </w:rPr>
        <w:t>§ 1</w:t>
      </w:r>
    </w:p>
    <w:p w:rsidR="00313E70" w:rsidRPr="003130A2" w:rsidRDefault="003130A2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3130A2">
        <w:rPr>
          <w:rFonts w:ascii="Arial" w:eastAsia="Arial" w:hAnsi="Arial" w:cs="Arial"/>
          <w:sz w:val="24"/>
          <w:szCs w:val="24"/>
          <w:lang w:val="pl-PL"/>
        </w:rPr>
        <w:tab/>
        <w:t>Rada Dydaktyczna zatwierdza tematy prac dyplomowych na kierunku Graduate Programme in International Relations stanowiący Z</w:t>
      </w:r>
      <w:r w:rsidRPr="003130A2">
        <w:rPr>
          <w:rFonts w:ascii="Arial" w:eastAsia="Arial" w:hAnsi="Arial" w:cs="Arial"/>
          <w:sz w:val="24"/>
          <w:szCs w:val="24"/>
          <w:lang w:val="pl-PL"/>
        </w:rPr>
        <w:t xml:space="preserve">ałączniki nr 1 do uchwały. </w:t>
      </w:r>
    </w:p>
    <w:p w:rsidR="00313E70" w:rsidRPr="003130A2" w:rsidRDefault="003130A2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3130A2">
        <w:rPr>
          <w:rFonts w:ascii="Arial" w:eastAsia="Arial" w:hAnsi="Arial" w:cs="Arial"/>
          <w:sz w:val="24"/>
          <w:szCs w:val="24"/>
          <w:lang w:val="pl-PL"/>
        </w:rPr>
        <w:t>§ 2</w:t>
      </w:r>
    </w:p>
    <w:p w:rsidR="00313E70" w:rsidRPr="003130A2" w:rsidRDefault="003130A2">
      <w:pPr>
        <w:spacing w:before="120" w:after="480" w:line="240" w:lineRule="auto"/>
        <w:ind w:left="708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3130A2">
        <w:rPr>
          <w:rFonts w:ascii="Arial" w:eastAsia="Arial" w:hAnsi="Arial" w:cs="Arial"/>
          <w:sz w:val="24"/>
          <w:szCs w:val="24"/>
          <w:lang w:val="pl-PL"/>
        </w:rPr>
        <w:t>Uchwała wchodzi w życie z dniem podjęcia.</w:t>
      </w:r>
    </w:p>
    <w:p w:rsidR="00313E70" w:rsidRDefault="003130A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Przewodnicząca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Rady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Dydaktycznej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 xml:space="preserve">D.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Heidrich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13E70" w:rsidRDefault="00313E7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313E70" w:rsidRDefault="00313E7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313E70" w:rsidRDefault="003130A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313E70" w:rsidRDefault="003130A2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1" w:name="_heading=h.30j0zll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z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dnia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18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stycznia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2024 do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uchwały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2/2024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Rady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Dydaktycznej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kierunków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Undergraduate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International Relations,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Undergraduate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Political Science,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International Relations,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Political Science, European Politics and Economics,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Social and Public Policy</w:t>
      </w:r>
    </w:p>
    <w:p w:rsidR="00313E70" w:rsidRDefault="00313E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3E70" w:rsidRPr="003130A2" w:rsidRDefault="003130A2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30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Tematy </w:t>
      </w:r>
      <w:r w:rsidRPr="003130A2">
        <w:rPr>
          <w:rFonts w:ascii="Times New Roman" w:eastAsia="Times New Roman" w:hAnsi="Times New Roman" w:cs="Times New Roman"/>
          <w:sz w:val="24"/>
          <w:szCs w:val="24"/>
          <w:lang w:val="pl-PL"/>
        </w:rPr>
        <w:t>prac dyplomowych dla kierunku Graduate Programme in International Relations w roku akademickim 2022/2023.</w:t>
      </w:r>
    </w:p>
    <w:p w:rsidR="00313E70" w:rsidRPr="003130A2" w:rsidRDefault="00313E7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0"/>
        <w:gridCol w:w="950"/>
        <w:gridCol w:w="6011"/>
      </w:tblGrid>
      <w:tr w:rsidR="00313E70">
        <w:trPr>
          <w:trHeight w:val="308"/>
        </w:trPr>
        <w:tc>
          <w:tcPr>
            <w:tcW w:w="2390" w:type="dxa"/>
          </w:tcPr>
          <w:p w:rsidR="00313E70" w:rsidRDefault="003130A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nazwisko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promotora</w:t>
            </w:r>
            <w:proofErr w:type="spellEnd"/>
          </w:p>
        </w:tc>
        <w:tc>
          <w:tcPr>
            <w:tcW w:w="950" w:type="dxa"/>
          </w:tcPr>
          <w:p w:rsidR="00313E70" w:rsidRDefault="003130A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albumu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6011" w:type="dxa"/>
          </w:tcPr>
          <w:p w:rsidR="00313E70" w:rsidRDefault="003130A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Zatwierdzony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dyplomowej</w:t>
            </w:r>
            <w:proofErr w:type="spellEnd"/>
          </w:p>
        </w:tc>
      </w:tr>
      <w:tr w:rsidR="00313E70">
        <w:trPr>
          <w:trHeight w:val="308"/>
        </w:trPr>
        <w:tc>
          <w:tcPr>
            <w:tcW w:w="2390" w:type="dxa"/>
          </w:tcPr>
          <w:p w:rsidR="00313E70" w:rsidRPr="003130A2" w:rsidRDefault="003130A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130A2">
              <w:rPr>
                <w:rFonts w:ascii="Times New Roman" w:eastAsia="Times New Roman" w:hAnsi="Times New Roman" w:cs="Times New Roman"/>
                <w:lang w:val="pl-PL"/>
              </w:rPr>
              <w:t>Dr hab. Andrzej Szeptycki, prof. ucz</w:t>
            </w:r>
          </w:p>
        </w:tc>
        <w:tc>
          <w:tcPr>
            <w:tcW w:w="950" w:type="dxa"/>
          </w:tcPr>
          <w:p w:rsidR="00313E70" w:rsidRDefault="003130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456511</w:t>
            </w:r>
          </w:p>
        </w:tc>
        <w:tc>
          <w:tcPr>
            <w:tcW w:w="6011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Obstacles to the region</w:t>
            </w:r>
            <w:r>
              <w:rPr>
                <w:rFonts w:ascii="Times New Roman" w:eastAsia="Times New Roman" w:hAnsi="Times New Roman" w:cs="Times New Roman"/>
              </w:rPr>
              <w:t>al integration in Central Asia</w:t>
            </w:r>
          </w:p>
        </w:tc>
      </w:tr>
      <w:tr w:rsidR="00313E70">
        <w:trPr>
          <w:trHeight w:val="308"/>
        </w:trPr>
        <w:tc>
          <w:tcPr>
            <w:tcW w:w="2390" w:type="dxa"/>
          </w:tcPr>
          <w:p w:rsidR="00313E70" w:rsidRPr="003130A2" w:rsidRDefault="003130A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130A2">
              <w:rPr>
                <w:rFonts w:ascii="Times New Roman" w:eastAsia="Times New Roman" w:hAnsi="Times New Roman" w:cs="Times New Roman"/>
                <w:lang w:val="pl-PL"/>
              </w:rPr>
              <w:t>Dr hab. Andrzej Szeptycki, prof. ucz</w:t>
            </w:r>
          </w:p>
        </w:tc>
        <w:tc>
          <w:tcPr>
            <w:tcW w:w="950" w:type="dxa"/>
          </w:tcPr>
          <w:p w:rsidR="00313E70" w:rsidRDefault="003130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455014</w:t>
            </w:r>
          </w:p>
        </w:tc>
        <w:tc>
          <w:tcPr>
            <w:tcW w:w="6011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Causes of Russia's full-scale invasion of Ukraine in 2022</w:t>
            </w:r>
          </w:p>
        </w:tc>
      </w:tr>
      <w:tr w:rsidR="00313E70">
        <w:trPr>
          <w:trHeight w:val="308"/>
        </w:trPr>
        <w:tc>
          <w:tcPr>
            <w:tcW w:w="2390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hab. Marek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Madej</w:t>
            </w:r>
            <w:proofErr w:type="spellEnd"/>
          </w:p>
        </w:tc>
        <w:tc>
          <w:tcPr>
            <w:tcW w:w="950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455016</w:t>
            </w:r>
          </w:p>
        </w:tc>
        <w:tc>
          <w:tcPr>
            <w:tcW w:w="6011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International military involvement in Afghanistan after 2001 as a counterinsurgency operation: goals, strategies and reasons for failure</w:t>
            </w:r>
          </w:p>
        </w:tc>
      </w:tr>
      <w:tr w:rsidR="00313E70">
        <w:trPr>
          <w:trHeight w:val="308"/>
        </w:trPr>
        <w:tc>
          <w:tcPr>
            <w:tcW w:w="2390" w:type="dxa"/>
          </w:tcPr>
          <w:p w:rsidR="00313E70" w:rsidRPr="003130A2" w:rsidRDefault="003130A2">
            <w:pPr>
              <w:rPr>
                <w:rFonts w:ascii="Times New Roman" w:eastAsia="Times New Roman" w:hAnsi="Times New Roman" w:cs="Times New Roman"/>
                <w:lang w:val="pl-PL"/>
              </w:rPr>
            </w:pPr>
            <w:r w:rsidRPr="003130A2">
              <w:rPr>
                <w:rFonts w:ascii="Times New Roman" w:eastAsia="Times New Roman" w:hAnsi="Times New Roman" w:cs="Times New Roman"/>
                <w:lang w:val="pl-PL"/>
              </w:rPr>
              <w:t>Dr hab. Andrzej Szeptycki, prof. ucz</w:t>
            </w:r>
          </w:p>
        </w:tc>
        <w:tc>
          <w:tcPr>
            <w:tcW w:w="950" w:type="dxa"/>
          </w:tcPr>
          <w:p w:rsidR="00313E70" w:rsidRDefault="003130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379622</w:t>
            </w:r>
          </w:p>
        </w:tc>
        <w:tc>
          <w:tcPr>
            <w:tcW w:w="6011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Russian strategy in the Middle East (2015-2022)</w:t>
            </w:r>
          </w:p>
        </w:tc>
      </w:tr>
      <w:tr w:rsidR="00313E70">
        <w:trPr>
          <w:trHeight w:val="308"/>
        </w:trPr>
        <w:tc>
          <w:tcPr>
            <w:tcW w:w="2390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Barbara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Kratiuk</w:t>
            </w:r>
            <w:proofErr w:type="spellEnd"/>
          </w:p>
        </w:tc>
        <w:tc>
          <w:tcPr>
            <w:tcW w:w="950" w:type="dxa"/>
          </w:tcPr>
          <w:p w:rsidR="00313E70" w:rsidRDefault="003130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456607</w:t>
            </w:r>
          </w:p>
        </w:tc>
        <w:tc>
          <w:tcPr>
            <w:tcW w:w="6011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Shark and Remora Fish: the Dominican Republic’s asymmetric security relationship with the United States.</w:t>
            </w:r>
          </w:p>
        </w:tc>
      </w:tr>
      <w:tr w:rsidR="00313E70">
        <w:trPr>
          <w:trHeight w:val="308"/>
        </w:trPr>
        <w:tc>
          <w:tcPr>
            <w:tcW w:w="2390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Barbara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Kratiuk</w:t>
            </w:r>
            <w:proofErr w:type="spellEnd"/>
          </w:p>
        </w:tc>
        <w:tc>
          <w:tcPr>
            <w:tcW w:w="950" w:type="dxa"/>
          </w:tcPr>
          <w:p w:rsidR="00313E70" w:rsidRDefault="003130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367115</w:t>
            </w:r>
          </w:p>
        </w:tc>
        <w:tc>
          <w:tcPr>
            <w:tcW w:w="6011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Hindutva overshadowing India’s commitment towards international law: the case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Rohingya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13E70">
        <w:trPr>
          <w:trHeight w:val="308"/>
        </w:trPr>
        <w:tc>
          <w:tcPr>
            <w:tcW w:w="2390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Barbara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Kratiuk</w:t>
            </w:r>
            <w:proofErr w:type="spellEnd"/>
          </w:p>
        </w:tc>
        <w:tc>
          <w:tcPr>
            <w:tcW w:w="950" w:type="dxa"/>
          </w:tcPr>
          <w:p w:rsidR="00313E70" w:rsidRDefault="003130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460171</w:t>
            </w:r>
          </w:p>
        </w:tc>
        <w:tc>
          <w:tcPr>
            <w:tcW w:w="6011" w:type="dxa"/>
          </w:tcPr>
          <w:p w:rsidR="00313E70" w:rsidRDefault="003130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United States-China relations in the context of the Non-Proliferation Treaty</w:t>
            </w:r>
          </w:p>
          <w:p w:rsidR="00313E70" w:rsidRDefault="00313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3E70">
        <w:trPr>
          <w:trHeight w:val="308"/>
        </w:trPr>
        <w:tc>
          <w:tcPr>
            <w:tcW w:w="2390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Barbara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Kratiuk</w:t>
            </w:r>
            <w:proofErr w:type="spellEnd"/>
          </w:p>
        </w:tc>
        <w:tc>
          <w:tcPr>
            <w:tcW w:w="950" w:type="dxa"/>
          </w:tcPr>
          <w:p w:rsidR="00313E70" w:rsidRDefault="003130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423528</w:t>
            </w:r>
          </w:p>
        </w:tc>
        <w:tc>
          <w:tcPr>
            <w:tcW w:w="6011" w:type="dxa"/>
          </w:tcPr>
          <w:p w:rsidR="00313E70" w:rsidRDefault="003130A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Taiwanese "silicon shield" in the face of the "chip war"</w:t>
            </w:r>
          </w:p>
          <w:p w:rsidR="00313E70" w:rsidRDefault="00313E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3E70">
        <w:trPr>
          <w:trHeight w:val="308"/>
        </w:trPr>
        <w:tc>
          <w:tcPr>
            <w:tcW w:w="2390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Dorota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Heidrich</w:t>
            </w:r>
            <w:proofErr w:type="spellEnd"/>
          </w:p>
        </w:tc>
        <w:tc>
          <w:tcPr>
            <w:tcW w:w="950" w:type="dxa"/>
          </w:tcPr>
          <w:p w:rsidR="00313E70" w:rsidRDefault="003130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466539</w:t>
            </w:r>
          </w:p>
        </w:tc>
        <w:tc>
          <w:tcPr>
            <w:tcW w:w="6011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Unveiling Russia's foreign policy objectives: leveraging </w:t>
            </w:r>
            <w:r>
              <w:rPr>
                <w:rFonts w:ascii="Times New Roman" w:eastAsia="Times New Roman" w:hAnsi="Times New Roman" w:cs="Times New Roman"/>
              </w:rPr>
              <w:t>non-state actors as a tool in cyber warfare</w:t>
            </w:r>
          </w:p>
        </w:tc>
      </w:tr>
      <w:tr w:rsidR="00313E70">
        <w:trPr>
          <w:trHeight w:val="308"/>
        </w:trPr>
        <w:tc>
          <w:tcPr>
            <w:tcW w:w="2390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Dorota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Heidrich</w:t>
            </w:r>
            <w:proofErr w:type="spellEnd"/>
          </w:p>
        </w:tc>
        <w:tc>
          <w:tcPr>
            <w:tcW w:w="950" w:type="dxa"/>
          </w:tcPr>
          <w:p w:rsidR="00313E70" w:rsidRDefault="003130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456512</w:t>
            </w:r>
          </w:p>
        </w:tc>
        <w:tc>
          <w:tcPr>
            <w:tcW w:w="6011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mandate of the United Nations Security Council in humanitarian crises and its limitations related to the application of the veto power</w:t>
            </w:r>
          </w:p>
        </w:tc>
      </w:tr>
      <w:tr w:rsidR="00313E70">
        <w:trPr>
          <w:trHeight w:val="308"/>
        </w:trPr>
        <w:tc>
          <w:tcPr>
            <w:tcW w:w="2390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Dorota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Heidrich</w:t>
            </w:r>
            <w:proofErr w:type="spellEnd"/>
          </w:p>
        </w:tc>
        <w:tc>
          <w:tcPr>
            <w:tcW w:w="950" w:type="dxa"/>
          </w:tcPr>
          <w:p w:rsidR="00313E70" w:rsidRDefault="003130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455017</w:t>
            </w:r>
          </w:p>
        </w:tc>
        <w:tc>
          <w:tcPr>
            <w:tcW w:w="6011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MONUSCO i</w:t>
            </w:r>
            <w:r>
              <w:rPr>
                <w:rFonts w:ascii="Times New Roman" w:eastAsia="Times New Roman" w:hAnsi="Times New Roman" w:cs="Times New Roman"/>
              </w:rPr>
              <w:t>n the Eastern Democratic Republic of Congo and its involvement on behalf of the internally displaced persons</w:t>
            </w:r>
          </w:p>
        </w:tc>
      </w:tr>
      <w:tr w:rsidR="00313E70">
        <w:trPr>
          <w:trHeight w:val="308"/>
        </w:trPr>
        <w:tc>
          <w:tcPr>
            <w:tcW w:w="2390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Dorota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Heidrich</w:t>
            </w:r>
            <w:proofErr w:type="spellEnd"/>
          </w:p>
        </w:tc>
        <w:tc>
          <w:tcPr>
            <w:tcW w:w="950" w:type="dxa"/>
          </w:tcPr>
          <w:p w:rsidR="00313E70" w:rsidRDefault="003130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457870</w:t>
            </w:r>
          </w:p>
        </w:tc>
        <w:tc>
          <w:tcPr>
            <w:tcW w:w="6011" w:type="dxa"/>
          </w:tcPr>
          <w:p w:rsidR="00313E70" w:rsidRDefault="003130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Chasing chimeras: decoding the elusive nature of international oil corporations in climate governance</w:t>
            </w:r>
          </w:p>
        </w:tc>
      </w:tr>
    </w:tbl>
    <w:p w:rsidR="00313E70" w:rsidRDefault="00313E7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313E70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70"/>
    <w:rsid w:val="003130A2"/>
    <w:rsid w:val="0031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D210"/>
  <w15:docId w15:val="{95C29D99-AD7B-499F-8E23-C6851080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color w:val="2E74B5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b/>
      <w:color w:val="5B9BD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b/>
      <w:color w:val="5B9BD5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</w:pPr>
    <w:rPr>
      <w:color w:val="323E4F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xFmprTW0m9IIXLvVNoY8bRbpZQ==">CgMxLjAyCWguMzBqMHpsbDIIaC5namRneHM4AHIhMUwzT1I1M1VIYWJCMWF5X0lMMGxDVklYRURtNmdVdGJU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A.Parmee</cp:lastModifiedBy>
  <cp:revision>2</cp:revision>
  <dcterms:created xsi:type="dcterms:W3CDTF">2024-01-19T14:06:00Z</dcterms:created>
  <dcterms:modified xsi:type="dcterms:W3CDTF">2024-01-19T14:07:00Z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