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A0" w:rsidRDefault="00DA4AC3">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50" name="Grupa 50"/>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2" name="Prostokąt 2"/>
                          <wps:cNvSpPr/>
                          <wps:spPr>
                            <a:xfrm>
                              <a:off x="0" y="0"/>
                              <a:ext cx="6134100" cy="770875"/>
                            </a:xfrm>
                            <a:prstGeom prst="rect">
                              <a:avLst/>
                            </a:prstGeom>
                            <a:noFill/>
                            <a:ln>
                              <a:noFill/>
                            </a:ln>
                          </wps:spPr>
                          <wps:txbx>
                            <w:txbxContent>
                              <w:p w:rsidR="001302A0" w:rsidRDefault="001302A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6">
                              <a:alphaModFix/>
                            </a:blip>
                            <a:srcRect/>
                            <a:stretch/>
                          </pic:blipFill>
                          <pic:spPr>
                            <a:xfrm>
                              <a:off x="0" y="0"/>
                              <a:ext cx="1877695" cy="770890"/>
                            </a:xfrm>
                            <a:prstGeom prst="rect">
                              <a:avLst/>
                            </a:prstGeom>
                            <a:noFill/>
                            <a:ln>
                              <a:noFill/>
                            </a:ln>
                          </pic:spPr>
                        </pic:pic>
                        <wps:wsp>
                          <wps:cNvPr id="3" name="Prostokąt 3"/>
                          <wps:cNvSpPr/>
                          <wps:spPr>
                            <a:xfrm>
                              <a:off x="2019300" y="161925"/>
                              <a:ext cx="4114800" cy="571500"/>
                            </a:xfrm>
                            <a:prstGeom prst="rect">
                              <a:avLst/>
                            </a:prstGeom>
                            <a:solidFill>
                              <a:srgbClr val="FFFFFF"/>
                            </a:solidFill>
                            <a:ln>
                              <a:noFill/>
                            </a:ln>
                          </wps:spPr>
                          <wps:txbx>
                            <w:txbxContent>
                              <w:p w:rsidR="001302A0" w:rsidRDefault="00DA4AC3">
                                <w:pPr>
                                  <w:spacing w:after="0" w:line="240" w:lineRule="auto"/>
                                  <w:textDirection w:val="btLr"/>
                                </w:pPr>
                                <w:r>
                                  <w:rPr>
                                    <w:rFonts w:ascii="Arial" w:eastAsia="Arial" w:hAnsi="Arial" w:cs="Arial"/>
                                    <w:b/>
                                    <w:smallCaps/>
                                    <w:color w:val="000000"/>
                                    <w:sz w:val="24"/>
                                  </w:rPr>
                                  <w:t>DZIENNIK UNIWERSYTETU WARSZAWSKIEGO</w:t>
                                </w:r>
                              </w:p>
                              <w:p w:rsidR="001302A0" w:rsidRDefault="00DA4AC3">
                                <w:pPr>
                                  <w:spacing w:after="0" w:line="240" w:lineRule="auto"/>
                                  <w:ind w:left="1275"/>
                                  <w:textDirection w:val="btLr"/>
                                </w:pPr>
                                <w:r>
                                  <w:rPr>
                                    <w:rFonts w:ascii="Arial" w:eastAsia="Arial" w:hAnsi="Arial" w:cs="Arial"/>
                                    <w:color w:val="000000"/>
                                    <w:sz w:val="24"/>
                                  </w:rPr>
                                  <w:t>RADY DYDAKTYCZNE</w:t>
                                </w:r>
                              </w:p>
                              <w:p w:rsidR="001302A0" w:rsidRDefault="001302A0">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770890"/>
                <wp:effectExtent b="0" l="0" r="0" t="0"/>
                <wp:wrapNone/>
                <wp:docPr id="5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34100" cy="77089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49" name="Grupa 49"/>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4" name="Grupa 4"/>
                        <wpg:cNvGrpSpPr/>
                        <wpg:grpSpPr>
                          <a:xfrm>
                            <a:off x="2278950" y="3394555"/>
                            <a:ext cx="6134100" cy="770890"/>
                            <a:chOff x="0" y="0"/>
                            <a:chExt cx="6134100" cy="770890"/>
                          </a:xfrm>
                        </wpg:grpSpPr>
                        <wps:wsp>
                          <wps:cNvPr id="5" name="Prostokąt 5"/>
                          <wps:cNvSpPr/>
                          <wps:spPr>
                            <a:xfrm>
                              <a:off x="0" y="0"/>
                              <a:ext cx="6134100" cy="770875"/>
                            </a:xfrm>
                            <a:prstGeom prst="rect">
                              <a:avLst/>
                            </a:prstGeom>
                            <a:noFill/>
                            <a:ln>
                              <a:noFill/>
                            </a:ln>
                          </wps:spPr>
                          <wps:txbx>
                            <w:txbxContent>
                              <w:p w:rsidR="001302A0" w:rsidRDefault="001302A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4"/>
                            <pic:cNvPicPr preferRelativeResize="0"/>
                          </pic:nvPicPr>
                          <pic:blipFill rotWithShape="1">
                            <a:blip r:embed="rId6">
                              <a:alphaModFix/>
                            </a:blip>
                            <a:srcRect/>
                            <a:stretch/>
                          </pic:blipFill>
                          <pic:spPr>
                            <a:xfrm>
                              <a:off x="0" y="0"/>
                              <a:ext cx="1877695" cy="770890"/>
                            </a:xfrm>
                            <a:prstGeom prst="rect">
                              <a:avLst/>
                            </a:prstGeom>
                            <a:noFill/>
                            <a:ln>
                              <a:noFill/>
                            </a:ln>
                          </pic:spPr>
                        </pic:pic>
                        <wps:wsp>
                          <wps:cNvPr id="8" name="Prostokąt 8"/>
                          <wps:cNvSpPr/>
                          <wps:spPr>
                            <a:xfrm>
                              <a:off x="2019300" y="161925"/>
                              <a:ext cx="4114800" cy="571500"/>
                            </a:xfrm>
                            <a:prstGeom prst="rect">
                              <a:avLst/>
                            </a:prstGeom>
                            <a:solidFill>
                              <a:srgbClr val="FFFFFF"/>
                            </a:solidFill>
                            <a:ln>
                              <a:noFill/>
                            </a:ln>
                          </wps:spPr>
                          <wps:txbx>
                            <w:txbxContent>
                              <w:p w:rsidR="001302A0" w:rsidRDefault="00DA4AC3">
                                <w:pPr>
                                  <w:spacing w:after="0" w:line="240" w:lineRule="auto"/>
                                  <w:textDirection w:val="btLr"/>
                                </w:pPr>
                                <w:r>
                                  <w:rPr>
                                    <w:rFonts w:ascii="Arial" w:eastAsia="Arial" w:hAnsi="Arial" w:cs="Arial"/>
                                    <w:b/>
                                    <w:smallCaps/>
                                    <w:color w:val="000000"/>
                                    <w:sz w:val="24"/>
                                  </w:rPr>
                                  <w:t>DZIENNIK UNIWERSYTETU WARSZAWSKIEGO</w:t>
                                </w:r>
                              </w:p>
                              <w:p w:rsidR="001302A0" w:rsidRDefault="00DA4AC3">
                                <w:pPr>
                                  <w:spacing w:after="0" w:line="240" w:lineRule="auto"/>
                                  <w:ind w:left="1275"/>
                                  <w:textDirection w:val="btLr"/>
                                </w:pPr>
                                <w:r>
                                  <w:rPr>
                                    <w:rFonts w:ascii="Arial" w:eastAsia="Arial" w:hAnsi="Arial" w:cs="Arial"/>
                                    <w:color w:val="000000"/>
                                    <w:sz w:val="24"/>
                                  </w:rPr>
                                  <w:t>RADY DYDAKTYCZNE DLA KIERUNKÓW STUDIÓW</w:t>
                                </w:r>
                              </w:p>
                              <w:p w:rsidR="001302A0" w:rsidRDefault="001302A0">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770890"/>
                <wp:effectExtent b="0" l="0" r="0" t="0"/>
                <wp:wrapNone/>
                <wp:docPr id="4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134100" cy="770890"/>
                        </a:xfrm>
                        <a:prstGeom prst="rect"/>
                        <a:ln/>
                      </pic:spPr>
                    </pic:pic>
                  </a:graphicData>
                </a:graphic>
              </wp:anchor>
            </w:drawing>
          </mc:Fallback>
        </mc:AlternateContent>
      </w:r>
    </w:p>
    <w:p w:rsidR="001302A0" w:rsidRDefault="001302A0"/>
    <w:p w:rsidR="001302A0" w:rsidRDefault="00DA4AC3">
      <w:r>
        <w:tab/>
      </w:r>
      <w:r>
        <w:tab/>
      </w:r>
      <w:r>
        <w:tab/>
      </w:r>
      <w:r>
        <w:tab/>
      </w:r>
      <w:r>
        <w:tab/>
      </w:r>
      <w:r>
        <w:tab/>
      </w:r>
    </w:p>
    <w:p w:rsidR="001302A0" w:rsidRDefault="00DA4AC3">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UCHWAŁA NR 45/2024</w:t>
      </w:r>
    </w:p>
    <w:p w:rsidR="001302A0" w:rsidRDefault="00DA4AC3">
      <w:pPr>
        <w:spacing w:before="240" w:after="240" w:line="240" w:lineRule="auto"/>
        <w:jc w:val="center"/>
        <w:rPr>
          <w:rFonts w:ascii="Arial" w:eastAsia="Arial" w:hAnsi="Arial" w:cs="Arial"/>
          <w:b/>
          <w:sz w:val="24"/>
          <w:szCs w:val="24"/>
        </w:rPr>
      </w:pPr>
      <w:bookmarkStart w:id="1" w:name="_heading=h.gjdgxs" w:colFirst="0" w:colLast="0"/>
      <w:bookmarkEnd w:id="1"/>
      <w:r>
        <w:rPr>
          <w:rFonts w:ascii="Arial" w:eastAsia="Arial" w:hAnsi="Arial" w:cs="Arial"/>
          <w:b/>
          <w:sz w:val="24"/>
          <w:szCs w:val="24"/>
        </w:rPr>
        <w:t xml:space="preserve">RADY DYDAKTYCZNEJ DLA KIERUNKÓW STUDIÓW </w:t>
      </w:r>
      <w:r>
        <w:rPr>
          <w:rFonts w:ascii="Arial" w:eastAsia="Arial" w:hAnsi="Arial" w:cs="Arial"/>
          <w:b/>
          <w:sz w:val="24"/>
          <w:szCs w:val="24"/>
        </w:rPr>
        <w:br/>
      </w:r>
      <w:r>
        <w:rPr>
          <w:rFonts w:ascii="Arial" w:eastAsia="Arial" w:hAnsi="Arial" w:cs="Arial"/>
          <w:b/>
          <w:sz w:val="24"/>
          <w:szCs w:val="24"/>
        </w:rPr>
        <w:t>BEZPIECZEŃSTWO WEWNĘTRZNE, CYBERBEZPIECZEŃSTWO, EUROPEISTYKA – INTEGRACJA EUROPEJSKA, ORGANIZOWANIE RYNKU PRACY, POLITOLOGIA, POLITYKA KULTURALNA I ZARZĄDZANIE W KULTURZE, POLITYKA SPOŁECZNA, POLITYKA PUBLICZNA, STOSUNKI MIĘDZYNARODOWE, STUDIA EUROAZJATYCK</w:t>
      </w:r>
      <w:r>
        <w:rPr>
          <w:rFonts w:ascii="Arial" w:eastAsia="Arial" w:hAnsi="Arial" w:cs="Arial"/>
          <w:b/>
          <w:sz w:val="24"/>
          <w:szCs w:val="24"/>
        </w:rPr>
        <w:t>IE</w:t>
      </w:r>
    </w:p>
    <w:p w:rsidR="001302A0" w:rsidRDefault="00DA4AC3">
      <w:pPr>
        <w:spacing w:before="240" w:after="240" w:line="240" w:lineRule="auto"/>
        <w:jc w:val="center"/>
        <w:rPr>
          <w:rFonts w:ascii="Arial" w:eastAsia="Arial" w:hAnsi="Arial" w:cs="Arial"/>
          <w:sz w:val="24"/>
          <w:szCs w:val="24"/>
        </w:rPr>
      </w:pPr>
      <w:r>
        <w:rPr>
          <w:rFonts w:ascii="Arial" w:eastAsia="Arial" w:hAnsi="Arial" w:cs="Arial"/>
          <w:sz w:val="24"/>
          <w:szCs w:val="24"/>
        </w:rPr>
        <w:t>z dnia 13 czerwca 2024 r.</w:t>
      </w:r>
    </w:p>
    <w:p w:rsidR="001302A0" w:rsidRDefault="00DA4AC3">
      <w:pPr>
        <w:spacing w:before="120" w:after="120" w:line="240" w:lineRule="auto"/>
        <w:jc w:val="center"/>
        <w:rPr>
          <w:rFonts w:ascii="Arial" w:eastAsia="Arial" w:hAnsi="Arial" w:cs="Arial"/>
          <w:b/>
          <w:sz w:val="24"/>
          <w:szCs w:val="24"/>
        </w:rPr>
      </w:pPr>
      <w:r>
        <w:rPr>
          <w:rFonts w:ascii="Arial" w:eastAsia="Arial" w:hAnsi="Arial" w:cs="Arial"/>
          <w:b/>
          <w:sz w:val="24"/>
          <w:szCs w:val="24"/>
        </w:rPr>
        <w:t xml:space="preserve">w sprawie przepisów przejściowych regulujących wybrane zasady studiowania na kierunkach Bezpieczeństwo Wewnętrzne I stopnia, profil praktyczny i Bezpieczeństwo Wewnętrzne I stopnia, profil </w:t>
      </w:r>
      <w:proofErr w:type="spellStart"/>
      <w:r>
        <w:rPr>
          <w:rFonts w:ascii="Arial" w:eastAsia="Arial" w:hAnsi="Arial" w:cs="Arial"/>
          <w:b/>
          <w:sz w:val="24"/>
          <w:szCs w:val="24"/>
        </w:rPr>
        <w:t>ogólnoakademicki</w:t>
      </w:r>
      <w:proofErr w:type="spellEnd"/>
      <w:r>
        <w:rPr>
          <w:rFonts w:ascii="Arial" w:eastAsia="Arial" w:hAnsi="Arial" w:cs="Arial"/>
          <w:b/>
          <w:sz w:val="24"/>
          <w:szCs w:val="24"/>
        </w:rPr>
        <w:t>.</w:t>
      </w:r>
      <w:r>
        <w:rPr>
          <w:rFonts w:ascii="Arial" w:eastAsia="Arial" w:hAnsi="Arial" w:cs="Arial"/>
          <w:b/>
          <w:sz w:val="24"/>
          <w:szCs w:val="24"/>
        </w:rPr>
        <w:br/>
      </w:r>
    </w:p>
    <w:p w:rsidR="001302A0" w:rsidRDefault="00DA4AC3">
      <w:pPr>
        <w:spacing w:before="120" w:after="120" w:line="240" w:lineRule="auto"/>
        <w:ind w:firstLine="708"/>
        <w:jc w:val="both"/>
        <w:rPr>
          <w:rFonts w:ascii="Arial" w:eastAsia="Arial" w:hAnsi="Arial" w:cs="Arial"/>
          <w:sz w:val="24"/>
          <w:szCs w:val="24"/>
        </w:rPr>
      </w:pPr>
      <w:r>
        <w:rPr>
          <w:rFonts w:ascii="Arial" w:eastAsia="Arial" w:hAnsi="Arial" w:cs="Arial"/>
          <w:sz w:val="24"/>
          <w:szCs w:val="24"/>
        </w:rPr>
        <w:t>Na podstawie § 68 ust. 2 Statutu Uniwersytetu Warszawskiego (Monitor UW z 2019 r. poz. 190) oraz Regulaminu Studiów na Uniwersytecie Warszawskim (Monitor UW z 2019 r. poz. 186), Rada Dydaktyczna postanawia, co następuje:</w:t>
      </w:r>
    </w:p>
    <w:p w:rsidR="001302A0" w:rsidRDefault="00DA4AC3">
      <w:pPr>
        <w:spacing w:before="120" w:after="120" w:line="240" w:lineRule="auto"/>
        <w:jc w:val="center"/>
        <w:rPr>
          <w:rFonts w:ascii="Arial" w:eastAsia="Arial" w:hAnsi="Arial" w:cs="Arial"/>
          <w:sz w:val="24"/>
          <w:szCs w:val="24"/>
        </w:rPr>
      </w:pPr>
      <w:r>
        <w:rPr>
          <w:rFonts w:ascii="Arial" w:eastAsia="Arial" w:hAnsi="Arial" w:cs="Arial"/>
          <w:sz w:val="24"/>
          <w:szCs w:val="24"/>
        </w:rPr>
        <w:t>§ 1</w:t>
      </w:r>
    </w:p>
    <w:p w:rsidR="001302A0" w:rsidRDefault="00DA4AC3">
      <w:pPr>
        <w:shd w:val="clear" w:color="auto" w:fill="FFFFFF"/>
        <w:spacing w:line="240" w:lineRule="auto"/>
        <w:ind w:firstLine="708"/>
        <w:jc w:val="both"/>
        <w:rPr>
          <w:rFonts w:ascii="Arial" w:eastAsia="Arial" w:hAnsi="Arial" w:cs="Arial"/>
          <w:sz w:val="24"/>
          <w:szCs w:val="24"/>
        </w:rPr>
      </w:pPr>
      <w:r>
        <w:rPr>
          <w:rFonts w:ascii="Arial" w:eastAsia="Arial" w:hAnsi="Arial" w:cs="Arial"/>
          <w:sz w:val="24"/>
          <w:szCs w:val="24"/>
        </w:rPr>
        <w:t>Decyzje o zmianie kierunku stud</w:t>
      </w:r>
      <w:r>
        <w:rPr>
          <w:rFonts w:ascii="Arial" w:eastAsia="Arial" w:hAnsi="Arial" w:cs="Arial"/>
          <w:sz w:val="24"/>
          <w:szCs w:val="24"/>
        </w:rPr>
        <w:t xml:space="preserve">iów z Bezpieczeństwa Wewnętrznego I stopnia profil praktyczny na Bezpieczeństwo Wewnętrzne I stopnia profil </w:t>
      </w:r>
      <w:proofErr w:type="spellStart"/>
      <w:r>
        <w:rPr>
          <w:rFonts w:ascii="Arial" w:eastAsia="Arial" w:hAnsi="Arial" w:cs="Arial"/>
          <w:sz w:val="24"/>
          <w:szCs w:val="24"/>
        </w:rPr>
        <w:t>ogólnoakademicki</w:t>
      </w:r>
      <w:proofErr w:type="spellEnd"/>
      <w:r>
        <w:rPr>
          <w:rFonts w:ascii="Arial" w:eastAsia="Arial" w:hAnsi="Arial" w:cs="Arial"/>
          <w:sz w:val="24"/>
          <w:szCs w:val="24"/>
        </w:rPr>
        <w:t xml:space="preserve"> (z zachowaniem dotychczasowej formy studiów) będą podejmowane przez właściwego Kierownika Jednostki Dydaktycznej w oparciu o Regula</w:t>
      </w:r>
      <w:r>
        <w:rPr>
          <w:rFonts w:ascii="Arial" w:eastAsia="Arial" w:hAnsi="Arial" w:cs="Arial"/>
          <w:sz w:val="24"/>
          <w:szCs w:val="24"/>
        </w:rPr>
        <w:t>min Studiów UW (§14 RS UW). Wyznaczone w takim przypadku przez KJD różnice programowe mogą być realizowane przez uznanie równoważności przedmiotów już zrealizowanych (§6 ust. 2 pkt 7 RS UW) lub w formie zaliczenia na podstawie indywidualnej organizacji stu</w:t>
      </w:r>
      <w:r>
        <w:rPr>
          <w:rFonts w:ascii="Arial" w:eastAsia="Arial" w:hAnsi="Arial" w:cs="Arial"/>
          <w:sz w:val="24"/>
          <w:szCs w:val="24"/>
        </w:rPr>
        <w:t>diów (§26, §27 RS UW).</w:t>
      </w:r>
    </w:p>
    <w:p w:rsidR="001302A0" w:rsidRDefault="00DA4AC3">
      <w:pPr>
        <w:spacing w:before="120" w:after="120" w:line="240" w:lineRule="auto"/>
        <w:jc w:val="center"/>
        <w:rPr>
          <w:rFonts w:ascii="Arial" w:eastAsia="Arial" w:hAnsi="Arial" w:cs="Arial"/>
          <w:sz w:val="24"/>
          <w:szCs w:val="24"/>
        </w:rPr>
      </w:pPr>
      <w:r>
        <w:rPr>
          <w:rFonts w:ascii="Arial" w:eastAsia="Arial" w:hAnsi="Arial" w:cs="Arial"/>
          <w:sz w:val="24"/>
          <w:szCs w:val="24"/>
        </w:rPr>
        <w:t>§ 2</w:t>
      </w:r>
    </w:p>
    <w:p w:rsidR="001302A0" w:rsidRDefault="00DA4AC3">
      <w:pPr>
        <w:spacing w:line="240" w:lineRule="auto"/>
        <w:ind w:firstLine="708"/>
        <w:jc w:val="both"/>
        <w:rPr>
          <w:rFonts w:ascii="Arial" w:eastAsia="Arial" w:hAnsi="Arial" w:cs="Arial"/>
          <w:sz w:val="24"/>
          <w:szCs w:val="24"/>
        </w:rPr>
      </w:pPr>
      <w:r>
        <w:rPr>
          <w:rFonts w:ascii="Arial" w:eastAsia="Arial" w:hAnsi="Arial" w:cs="Arial"/>
          <w:sz w:val="24"/>
          <w:szCs w:val="24"/>
        </w:rPr>
        <w:t>Od cyklu akademickiego 2024/25 wznowienia na studia na kierunek Bezpieczeństwo Wewnętrzne I stopnia profil praktyczny (z zachowaniem dotychczasowej formy odbywania studiów), będą realizowane w przypadku, gdy docelowy rok wznowien</w:t>
      </w:r>
      <w:r>
        <w:rPr>
          <w:rFonts w:ascii="Arial" w:eastAsia="Arial" w:hAnsi="Arial" w:cs="Arial"/>
          <w:sz w:val="24"/>
          <w:szCs w:val="24"/>
        </w:rPr>
        <w:t xml:space="preserve">ia tego kierunku będzie realizowany. W przypadku braku takiej możliwości, studenci będą mogli być wznowieni na kierunek Bezpieczeństwo Wewnętrzne I stopnia, profil </w:t>
      </w:r>
      <w:proofErr w:type="spellStart"/>
      <w:r>
        <w:rPr>
          <w:rFonts w:ascii="Arial" w:eastAsia="Arial" w:hAnsi="Arial" w:cs="Arial"/>
          <w:sz w:val="24"/>
          <w:szCs w:val="24"/>
        </w:rPr>
        <w:t>ogólnoakademicki</w:t>
      </w:r>
      <w:proofErr w:type="spellEnd"/>
      <w:r>
        <w:rPr>
          <w:rFonts w:ascii="Arial" w:eastAsia="Arial" w:hAnsi="Arial" w:cs="Arial"/>
          <w:sz w:val="24"/>
          <w:szCs w:val="24"/>
        </w:rPr>
        <w:t xml:space="preserve"> (z zachowaniem dotychczasowej formy odbywania studiów) na podstawie decyzji</w:t>
      </w:r>
      <w:r>
        <w:rPr>
          <w:rFonts w:ascii="Arial" w:eastAsia="Arial" w:hAnsi="Arial" w:cs="Arial"/>
          <w:sz w:val="24"/>
          <w:szCs w:val="24"/>
        </w:rPr>
        <w:t xml:space="preserve"> Kierownika Jednostki Dydaktycznej (§13 ust. 7 RS UW). Decyzję w zakresie realizacji różnic programowych i uznania równoważności przedmiotów podejmie KJD.</w:t>
      </w:r>
    </w:p>
    <w:p w:rsidR="001302A0" w:rsidRDefault="00DA4AC3">
      <w:pPr>
        <w:rPr>
          <w:rFonts w:ascii="Arial" w:eastAsia="Arial" w:hAnsi="Arial" w:cs="Arial"/>
          <w:sz w:val="24"/>
          <w:szCs w:val="24"/>
        </w:rPr>
      </w:pPr>
      <w:r>
        <w:br w:type="page"/>
      </w:r>
    </w:p>
    <w:p w:rsidR="001302A0" w:rsidRDefault="00DA4AC3">
      <w:pPr>
        <w:spacing w:before="120" w:after="120" w:line="240" w:lineRule="auto"/>
        <w:jc w:val="center"/>
        <w:rPr>
          <w:rFonts w:ascii="Arial" w:eastAsia="Arial" w:hAnsi="Arial" w:cs="Arial"/>
          <w:sz w:val="24"/>
          <w:szCs w:val="24"/>
        </w:rPr>
      </w:pPr>
      <w:r>
        <w:rPr>
          <w:rFonts w:ascii="Arial" w:eastAsia="Arial" w:hAnsi="Arial" w:cs="Arial"/>
          <w:sz w:val="24"/>
          <w:szCs w:val="24"/>
        </w:rPr>
        <w:lastRenderedPageBreak/>
        <w:t>§ 3</w:t>
      </w:r>
    </w:p>
    <w:p w:rsidR="001302A0" w:rsidRDefault="00DA4AC3">
      <w:pPr>
        <w:spacing w:line="240" w:lineRule="auto"/>
        <w:ind w:firstLine="708"/>
        <w:jc w:val="both"/>
        <w:rPr>
          <w:rFonts w:ascii="Arial" w:eastAsia="Arial" w:hAnsi="Arial" w:cs="Arial"/>
          <w:sz w:val="24"/>
          <w:szCs w:val="24"/>
        </w:rPr>
      </w:pPr>
      <w:r>
        <w:rPr>
          <w:rFonts w:ascii="Arial" w:eastAsia="Arial" w:hAnsi="Arial" w:cs="Arial"/>
          <w:sz w:val="24"/>
          <w:szCs w:val="24"/>
          <w:highlight w:val="white"/>
        </w:rPr>
        <w:t>Wznowienia na studia w trybie §13 ust. 5 RS UW oraz §13 ust. 6 RS UW na kierunek Bezpieczeństwo</w:t>
      </w:r>
      <w:r>
        <w:rPr>
          <w:rFonts w:ascii="Arial" w:eastAsia="Arial" w:hAnsi="Arial" w:cs="Arial"/>
          <w:sz w:val="24"/>
          <w:szCs w:val="24"/>
          <w:highlight w:val="white"/>
        </w:rPr>
        <w:t xml:space="preserve"> Wewnętrzne I stopnia profil praktyczny </w:t>
      </w:r>
      <w:r>
        <w:rPr>
          <w:rFonts w:ascii="Arial" w:eastAsia="Arial" w:hAnsi="Arial" w:cs="Arial"/>
          <w:sz w:val="24"/>
          <w:szCs w:val="24"/>
        </w:rPr>
        <w:t xml:space="preserve">(z zachowaniem dotychczasowej formy odbywania studiów) </w:t>
      </w:r>
      <w:r>
        <w:rPr>
          <w:rFonts w:ascii="Arial" w:eastAsia="Arial" w:hAnsi="Arial" w:cs="Arial"/>
          <w:sz w:val="24"/>
          <w:szCs w:val="24"/>
          <w:highlight w:val="white"/>
        </w:rPr>
        <w:t>będą możliwe przez dwa lata od planowanego terminu zakończenia realizacji zajęć dydaktycznych tego kierunku (rozpoczęty 01.10.2023 ostatni programowy cykl kształcenia na ww. kierunku zakończy się planowo 30.09.2026 r.). Wznowienia te będą możliwe w okresie</w:t>
      </w:r>
      <w:r>
        <w:rPr>
          <w:rFonts w:ascii="Arial" w:eastAsia="Arial" w:hAnsi="Arial" w:cs="Arial"/>
          <w:sz w:val="24"/>
          <w:szCs w:val="24"/>
          <w:highlight w:val="white"/>
        </w:rPr>
        <w:t xml:space="preserve"> nieprzekraczającym dwóch lat od daty skreślenia z listy studentów z powodu niezłożenia pracy dyplomowej w terminie/w przedłużonym terminie na podstawie § 47 ust. 2 lub § 47 ust. 3 RS UW lub skreślenia z listy studentów z powodu niezłożenia w przewidzianym</w:t>
      </w:r>
      <w:r>
        <w:rPr>
          <w:rFonts w:ascii="Arial" w:eastAsia="Arial" w:hAnsi="Arial" w:cs="Arial"/>
          <w:sz w:val="24"/>
          <w:szCs w:val="24"/>
          <w:highlight w:val="white"/>
        </w:rPr>
        <w:t xml:space="preserve"> terminie egzaminu dyplomowego. Po tym terminie wznowienie na studia kierunku Bezpieczeństwo Wewnętrzne I stopnia, będzie możliwe jedynie na zasadach ogólnych na kierunek Bezpieczeństwo Wewnętrzne I stopnia profil </w:t>
      </w:r>
      <w:proofErr w:type="spellStart"/>
      <w:r>
        <w:rPr>
          <w:rFonts w:ascii="Arial" w:eastAsia="Arial" w:hAnsi="Arial" w:cs="Arial"/>
          <w:sz w:val="24"/>
          <w:szCs w:val="24"/>
          <w:highlight w:val="white"/>
        </w:rPr>
        <w:t>ogólnoakademicki</w:t>
      </w:r>
      <w:proofErr w:type="spellEnd"/>
      <w:r>
        <w:rPr>
          <w:rFonts w:ascii="Arial" w:eastAsia="Arial" w:hAnsi="Arial" w:cs="Arial"/>
          <w:sz w:val="24"/>
          <w:szCs w:val="24"/>
          <w:highlight w:val="white"/>
        </w:rPr>
        <w:t xml:space="preserve"> </w:t>
      </w:r>
      <w:r>
        <w:rPr>
          <w:rFonts w:ascii="Arial" w:eastAsia="Arial" w:hAnsi="Arial" w:cs="Arial"/>
          <w:sz w:val="24"/>
          <w:szCs w:val="24"/>
        </w:rPr>
        <w:t>(z zachowaniem dotychczas</w:t>
      </w:r>
      <w:r>
        <w:rPr>
          <w:rFonts w:ascii="Arial" w:eastAsia="Arial" w:hAnsi="Arial" w:cs="Arial"/>
          <w:sz w:val="24"/>
          <w:szCs w:val="24"/>
        </w:rPr>
        <w:t>owej formy odbywania studiów)</w:t>
      </w:r>
      <w:r>
        <w:rPr>
          <w:rFonts w:ascii="Arial" w:eastAsia="Arial" w:hAnsi="Arial" w:cs="Arial"/>
          <w:sz w:val="24"/>
          <w:szCs w:val="24"/>
          <w:highlight w:val="white"/>
        </w:rPr>
        <w:t xml:space="preserve"> (§13 ust. 2, 7 RS UW). Decyzje w zakresie realizacji różnic programowych i uznania równoważności przedmiotów podejmie KJD.</w:t>
      </w:r>
    </w:p>
    <w:p w:rsidR="001302A0" w:rsidRDefault="00DA4AC3">
      <w:pPr>
        <w:spacing w:before="120" w:after="120" w:line="240" w:lineRule="auto"/>
        <w:jc w:val="center"/>
        <w:rPr>
          <w:rFonts w:ascii="Arial" w:eastAsia="Arial" w:hAnsi="Arial" w:cs="Arial"/>
          <w:sz w:val="24"/>
          <w:szCs w:val="24"/>
        </w:rPr>
      </w:pPr>
      <w:r>
        <w:rPr>
          <w:rFonts w:ascii="Arial" w:eastAsia="Arial" w:hAnsi="Arial" w:cs="Arial"/>
          <w:sz w:val="24"/>
          <w:szCs w:val="24"/>
        </w:rPr>
        <w:t>§ 4</w:t>
      </w:r>
    </w:p>
    <w:p w:rsidR="001302A0" w:rsidRDefault="00DA4AC3">
      <w:pPr>
        <w:spacing w:before="120" w:after="120" w:line="240" w:lineRule="auto"/>
        <w:ind w:firstLine="708"/>
        <w:jc w:val="both"/>
        <w:rPr>
          <w:rFonts w:ascii="Arial" w:eastAsia="Arial" w:hAnsi="Arial" w:cs="Arial"/>
          <w:sz w:val="24"/>
          <w:szCs w:val="24"/>
        </w:rPr>
      </w:pPr>
      <w:r>
        <w:rPr>
          <w:rFonts w:ascii="Arial" w:eastAsia="Arial" w:hAnsi="Arial" w:cs="Arial"/>
          <w:sz w:val="24"/>
          <w:szCs w:val="24"/>
        </w:rPr>
        <w:t xml:space="preserve">Od roku akademickiego 2024/2025 w przypadku, gdy przedmioty i związane z nimi zajęcia przewidziane </w:t>
      </w:r>
      <w:r>
        <w:rPr>
          <w:rFonts w:ascii="Arial" w:eastAsia="Arial" w:hAnsi="Arial" w:cs="Arial"/>
          <w:sz w:val="24"/>
          <w:szCs w:val="24"/>
        </w:rPr>
        <w:t>programem studiów i przypisane do danego etapu studiów nie będą już realizowane, powtarzanie etapu studiów (§39, §40 RS UW) będzie możliwe jedynie w trybie zmiany kierunku studiów Bezpieczeństwo Wewnętrzne I stopnia, profil praktyczny, na kierunek Bezpiecz</w:t>
      </w:r>
      <w:r>
        <w:rPr>
          <w:rFonts w:ascii="Arial" w:eastAsia="Arial" w:hAnsi="Arial" w:cs="Arial"/>
          <w:sz w:val="24"/>
          <w:szCs w:val="24"/>
        </w:rPr>
        <w:t xml:space="preserve">eństwo Wewnętrzne I stopnia, profil </w:t>
      </w:r>
      <w:proofErr w:type="spellStart"/>
      <w:r>
        <w:rPr>
          <w:rFonts w:ascii="Arial" w:eastAsia="Arial" w:hAnsi="Arial" w:cs="Arial"/>
          <w:sz w:val="24"/>
          <w:szCs w:val="24"/>
        </w:rPr>
        <w:t>ogólnoakademicki</w:t>
      </w:r>
      <w:proofErr w:type="spellEnd"/>
      <w:r>
        <w:rPr>
          <w:rFonts w:ascii="Arial" w:eastAsia="Arial" w:hAnsi="Arial" w:cs="Arial"/>
          <w:sz w:val="24"/>
          <w:szCs w:val="24"/>
        </w:rPr>
        <w:t xml:space="preserve"> (z zachowaniem dotychczasowej formy odbywania studiów) (§14 RS UW). Decyzję w zakresie różnic programowych i uznanie równoważności przedmiotów podejmie KJD.</w:t>
      </w:r>
    </w:p>
    <w:p w:rsidR="001302A0" w:rsidRDefault="00DA4AC3">
      <w:pPr>
        <w:spacing w:before="120" w:after="120" w:line="240" w:lineRule="auto"/>
        <w:jc w:val="center"/>
        <w:rPr>
          <w:rFonts w:ascii="Arial" w:eastAsia="Arial" w:hAnsi="Arial" w:cs="Arial"/>
          <w:sz w:val="24"/>
          <w:szCs w:val="24"/>
        </w:rPr>
      </w:pPr>
      <w:r>
        <w:rPr>
          <w:rFonts w:ascii="Arial" w:eastAsia="Arial" w:hAnsi="Arial" w:cs="Arial"/>
          <w:sz w:val="24"/>
          <w:szCs w:val="24"/>
        </w:rPr>
        <w:t>§ 5</w:t>
      </w:r>
    </w:p>
    <w:p w:rsidR="001302A0" w:rsidRDefault="00DA4AC3">
      <w:pPr>
        <w:ind w:firstLine="708"/>
        <w:jc w:val="both"/>
        <w:rPr>
          <w:rFonts w:ascii="Arial" w:eastAsia="Arial" w:hAnsi="Arial" w:cs="Arial"/>
          <w:sz w:val="24"/>
          <w:szCs w:val="24"/>
        </w:rPr>
      </w:pPr>
      <w:r>
        <w:rPr>
          <w:rFonts w:ascii="Arial" w:eastAsia="Arial" w:hAnsi="Arial" w:cs="Arial"/>
          <w:sz w:val="24"/>
          <w:szCs w:val="24"/>
        </w:rPr>
        <w:t>Od cyklu akademickiego 2024/25 zgoda na wa</w:t>
      </w:r>
      <w:r>
        <w:rPr>
          <w:rFonts w:ascii="Arial" w:eastAsia="Arial" w:hAnsi="Arial" w:cs="Arial"/>
          <w:sz w:val="24"/>
          <w:szCs w:val="24"/>
        </w:rPr>
        <w:t>runkowy wpis na kolejny etap studiów (§38, §40 RS UW) na kierunku Bezpieczeństwo Wewnętrzne I stopnia profil praktyczny (z zachowaniem dotychczasowej formy odbywania studiów), będzie udzielona, gdy realizacja niezaliczonego przedmiotu/niezaliczonych przedm</w:t>
      </w:r>
      <w:r>
        <w:rPr>
          <w:rFonts w:ascii="Arial" w:eastAsia="Arial" w:hAnsi="Arial" w:cs="Arial"/>
          <w:sz w:val="24"/>
          <w:szCs w:val="24"/>
        </w:rPr>
        <w:t xml:space="preserve">iotów będzie możliwa w ramach wyznaczenia i uznania przez KJD równoważności przedmiotu/przedmiotów realizowanego/realizowanych na kierunku Bezpieczeństwo Wewnętrzne I stopnia, profil </w:t>
      </w:r>
      <w:proofErr w:type="spellStart"/>
      <w:r>
        <w:rPr>
          <w:rFonts w:ascii="Arial" w:eastAsia="Arial" w:hAnsi="Arial" w:cs="Arial"/>
          <w:sz w:val="24"/>
          <w:szCs w:val="24"/>
        </w:rPr>
        <w:t>ogólnoakademicki</w:t>
      </w:r>
      <w:proofErr w:type="spellEnd"/>
      <w:r>
        <w:rPr>
          <w:rFonts w:ascii="Arial" w:eastAsia="Arial" w:hAnsi="Arial" w:cs="Arial"/>
          <w:sz w:val="24"/>
          <w:szCs w:val="24"/>
        </w:rPr>
        <w:t xml:space="preserve"> za ekwiwalentny/ekwiwalentne z przedmiotem/przedmiotami,</w:t>
      </w:r>
      <w:r>
        <w:rPr>
          <w:rFonts w:ascii="Arial" w:eastAsia="Arial" w:hAnsi="Arial" w:cs="Arial"/>
          <w:sz w:val="24"/>
          <w:szCs w:val="24"/>
        </w:rPr>
        <w:t xml:space="preserve"> do którego/których realizacji student jest zobowiązany zgodnie z programem i planem studiów na kierunku Bezpieczeństwo Wewnętrzne I stopnia profil praktyczny (§6 ust. 2 pkt 7 RS UW) lub gdy ta realizacja będzie możliwa, w ramach indywidualnej organizacji </w:t>
      </w:r>
      <w:r>
        <w:rPr>
          <w:rFonts w:ascii="Arial" w:eastAsia="Arial" w:hAnsi="Arial" w:cs="Arial"/>
          <w:sz w:val="24"/>
          <w:szCs w:val="24"/>
        </w:rPr>
        <w:t>studiów (§26, §27 RS) UW).</w:t>
      </w:r>
    </w:p>
    <w:p w:rsidR="001302A0" w:rsidRDefault="00DA4AC3">
      <w:pPr>
        <w:spacing w:before="120" w:after="120" w:line="240" w:lineRule="auto"/>
        <w:jc w:val="center"/>
        <w:rPr>
          <w:rFonts w:ascii="Arial" w:eastAsia="Arial" w:hAnsi="Arial" w:cs="Arial"/>
          <w:sz w:val="24"/>
          <w:szCs w:val="24"/>
        </w:rPr>
      </w:pPr>
      <w:r>
        <w:rPr>
          <w:rFonts w:ascii="Arial" w:eastAsia="Arial" w:hAnsi="Arial" w:cs="Arial"/>
          <w:sz w:val="24"/>
          <w:szCs w:val="24"/>
        </w:rPr>
        <w:t>§ 6</w:t>
      </w:r>
    </w:p>
    <w:p w:rsidR="001302A0" w:rsidRDefault="00DA4AC3">
      <w:pPr>
        <w:spacing w:before="120" w:after="120" w:line="240" w:lineRule="auto"/>
        <w:ind w:firstLine="708"/>
        <w:jc w:val="both"/>
        <w:rPr>
          <w:rFonts w:ascii="Arial" w:eastAsia="Arial" w:hAnsi="Arial" w:cs="Arial"/>
          <w:sz w:val="24"/>
          <w:szCs w:val="24"/>
        </w:rPr>
      </w:pPr>
      <w:r>
        <w:rPr>
          <w:rFonts w:ascii="Arial" w:eastAsia="Arial" w:hAnsi="Arial" w:cs="Arial"/>
          <w:sz w:val="24"/>
          <w:szCs w:val="24"/>
        </w:rPr>
        <w:t>Zmianę formy odbywania studiów ze stacjonarnej na niestacjonarną oraz z niestacjonarnej na stacjonarną na kierunku bezpieczeństwo wewnętrzne reguluje w trybie wznowienia § 13 ust. 8 RS UW oraz w trybie przeniesienia § 15 RS U</w:t>
      </w:r>
      <w:r>
        <w:rPr>
          <w:rFonts w:ascii="Arial" w:eastAsia="Arial" w:hAnsi="Arial" w:cs="Arial"/>
          <w:sz w:val="24"/>
          <w:szCs w:val="24"/>
        </w:rPr>
        <w:t xml:space="preserve">W i Uchwała nr 28/2020 Rady dydaktycznej dla kierunków: Bezpieczeństwo wewnętrzne, Europeistyka – integracja europejska, Organizowanie rynku pracy, Politologia, Polityka społeczna, Stosunki międzynarodowe, Studia euroazjatyckie, </w:t>
      </w:r>
      <w:proofErr w:type="spellStart"/>
      <w:r>
        <w:rPr>
          <w:rFonts w:ascii="Arial" w:eastAsia="Arial" w:hAnsi="Arial" w:cs="Arial"/>
          <w:sz w:val="24"/>
          <w:szCs w:val="24"/>
        </w:rPr>
        <w:t>Undergraduate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w:t>
      </w:r>
      <w:r>
        <w:rPr>
          <w:rFonts w:ascii="Arial" w:eastAsia="Arial" w:hAnsi="Arial" w:cs="Arial"/>
          <w:sz w:val="24"/>
          <w:szCs w:val="24"/>
        </w:rPr>
        <w:t xml:space="preserve">International Relations, </w:t>
      </w:r>
      <w:proofErr w:type="spellStart"/>
      <w:r>
        <w:rPr>
          <w:rFonts w:ascii="Arial" w:eastAsia="Arial" w:hAnsi="Arial" w:cs="Arial"/>
          <w:sz w:val="24"/>
          <w:szCs w:val="24"/>
        </w:rPr>
        <w:t>Undergraduate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w:t>
      </w:r>
      <w:proofErr w:type="spellStart"/>
      <w:r>
        <w:rPr>
          <w:rFonts w:ascii="Arial" w:eastAsia="Arial" w:hAnsi="Arial" w:cs="Arial"/>
          <w:sz w:val="24"/>
          <w:szCs w:val="24"/>
        </w:rPr>
        <w:t>Political</w:t>
      </w:r>
      <w:proofErr w:type="spellEnd"/>
      <w:r>
        <w:rPr>
          <w:rFonts w:ascii="Arial" w:eastAsia="Arial" w:hAnsi="Arial" w:cs="Arial"/>
          <w:sz w:val="24"/>
          <w:szCs w:val="24"/>
        </w:rPr>
        <w:t xml:space="preserve"> Science, </w:t>
      </w:r>
      <w:proofErr w:type="spellStart"/>
      <w:r>
        <w:rPr>
          <w:rFonts w:ascii="Arial" w:eastAsia="Arial" w:hAnsi="Arial" w:cs="Arial"/>
          <w:sz w:val="24"/>
          <w:szCs w:val="24"/>
        </w:rPr>
        <w:t>Graduate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International Relations, </w:t>
      </w:r>
      <w:proofErr w:type="spellStart"/>
      <w:r>
        <w:rPr>
          <w:rFonts w:ascii="Arial" w:eastAsia="Arial" w:hAnsi="Arial" w:cs="Arial"/>
          <w:sz w:val="24"/>
          <w:szCs w:val="24"/>
        </w:rPr>
        <w:t>Graduate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w:t>
      </w:r>
      <w:proofErr w:type="spellStart"/>
      <w:r>
        <w:rPr>
          <w:rFonts w:ascii="Arial" w:eastAsia="Arial" w:hAnsi="Arial" w:cs="Arial"/>
          <w:sz w:val="24"/>
          <w:szCs w:val="24"/>
        </w:rPr>
        <w:t>Political</w:t>
      </w:r>
      <w:proofErr w:type="spellEnd"/>
      <w:r>
        <w:rPr>
          <w:rFonts w:ascii="Arial" w:eastAsia="Arial" w:hAnsi="Arial" w:cs="Arial"/>
          <w:sz w:val="24"/>
          <w:szCs w:val="24"/>
        </w:rPr>
        <w:t xml:space="preserve"> Science, </w:t>
      </w:r>
      <w:proofErr w:type="spellStart"/>
      <w:r>
        <w:rPr>
          <w:rFonts w:ascii="Arial" w:eastAsia="Arial" w:hAnsi="Arial" w:cs="Arial"/>
          <w:sz w:val="24"/>
          <w:szCs w:val="24"/>
        </w:rPr>
        <w:t>European</w:t>
      </w:r>
      <w:proofErr w:type="spellEnd"/>
      <w:r>
        <w:rPr>
          <w:rFonts w:ascii="Arial" w:eastAsia="Arial" w:hAnsi="Arial" w:cs="Arial"/>
          <w:sz w:val="24"/>
          <w:szCs w:val="24"/>
        </w:rPr>
        <w:t xml:space="preserve"> </w:t>
      </w:r>
      <w:proofErr w:type="spellStart"/>
      <w:r>
        <w:rPr>
          <w:rFonts w:ascii="Arial" w:eastAsia="Arial" w:hAnsi="Arial" w:cs="Arial"/>
          <w:sz w:val="24"/>
          <w:szCs w:val="24"/>
        </w:rPr>
        <w:t>Politics</w:t>
      </w:r>
      <w:proofErr w:type="spellEnd"/>
      <w:r>
        <w:rPr>
          <w:rFonts w:ascii="Arial" w:eastAsia="Arial" w:hAnsi="Arial" w:cs="Arial"/>
          <w:sz w:val="24"/>
          <w:szCs w:val="24"/>
        </w:rPr>
        <w:t xml:space="preserve"> and </w:t>
      </w:r>
      <w:proofErr w:type="spellStart"/>
      <w:r>
        <w:rPr>
          <w:rFonts w:ascii="Arial" w:eastAsia="Arial" w:hAnsi="Arial" w:cs="Arial"/>
          <w:sz w:val="24"/>
          <w:szCs w:val="24"/>
        </w:rPr>
        <w:t>Economics</w:t>
      </w:r>
      <w:proofErr w:type="spellEnd"/>
      <w:r>
        <w:rPr>
          <w:rFonts w:ascii="Arial" w:eastAsia="Arial" w:hAnsi="Arial" w:cs="Arial"/>
          <w:sz w:val="24"/>
          <w:szCs w:val="24"/>
        </w:rPr>
        <w:t xml:space="preserve"> z dnia 3 czerwca 2020 r. w sprawie szczegółowych </w:t>
      </w:r>
      <w:r>
        <w:rPr>
          <w:rFonts w:ascii="Arial" w:eastAsia="Arial" w:hAnsi="Arial" w:cs="Arial"/>
          <w:sz w:val="24"/>
          <w:szCs w:val="24"/>
        </w:rPr>
        <w:lastRenderedPageBreak/>
        <w:t>kryteriów zmiany</w:t>
      </w:r>
      <w:r>
        <w:rPr>
          <w:rFonts w:ascii="Arial" w:eastAsia="Arial" w:hAnsi="Arial" w:cs="Arial"/>
          <w:sz w:val="24"/>
          <w:szCs w:val="24"/>
        </w:rPr>
        <w:t xml:space="preserve"> formy odbywania studiów przez studenta na kierunku bezpieczeństwo wewnętrzne.</w:t>
      </w:r>
    </w:p>
    <w:p w:rsidR="001302A0" w:rsidRDefault="00DA4AC3">
      <w:pPr>
        <w:spacing w:before="120" w:after="120" w:line="240" w:lineRule="auto"/>
        <w:ind w:left="357" w:hanging="357"/>
        <w:jc w:val="center"/>
        <w:rPr>
          <w:rFonts w:ascii="Arial" w:eastAsia="Arial" w:hAnsi="Arial" w:cs="Arial"/>
          <w:sz w:val="24"/>
          <w:szCs w:val="24"/>
        </w:rPr>
      </w:pPr>
      <w:r>
        <w:rPr>
          <w:rFonts w:ascii="Arial" w:eastAsia="Arial" w:hAnsi="Arial" w:cs="Arial"/>
          <w:sz w:val="24"/>
          <w:szCs w:val="24"/>
        </w:rPr>
        <w:t>§ 7</w:t>
      </w:r>
    </w:p>
    <w:p w:rsidR="001302A0" w:rsidRDefault="00DA4AC3">
      <w:pPr>
        <w:spacing w:before="120" w:after="480" w:line="240" w:lineRule="auto"/>
        <w:ind w:left="708"/>
        <w:jc w:val="both"/>
        <w:rPr>
          <w:rFonts w:ascii="Arial" w:eastAsia="Arial" w:hAnsi="Arial" w:cs="Arial"/>
          <w:sz w:val="24"/>
          <w:szCs w:val="24"/>
        </w:rPr>
      </w:pPr>
      <w:r>
        <w:rPr>
          <w:rFonts w:ascii="Arial" w:eastAsia="Arial" w:hAnsi="Arial" w:cs="Arial"/>
          <w:sz w:val="24"/>
          <w:szCs w:val="24"/>
        </w:rPr>
        <w:t>Uchwała wchodzi w życie z dniem podjęcia.</w:t>
      </w:r>
    </w:p>
    <w:p w:rsidR="001302A0" w:rsidRDefault="00DA4AC3">
      <w:pPr>
        <w:spacing w:after="0" w:line="240" w:lineRule="auto"/>
        <w:jc w:val="right"/>
        <w:rPr>
          <w:rFonts w:ascii="Arial" w:eastAsia="Arial" w:hAnsi="Arial" w:cs="Arial"/>
          <w:sz w:val="24"/>
          <w:szCs w:val="24"/>
        </w:rPr>
      </w:pPr>
      <w:r>
        <w:rPr>
          <w:rFonts w:ascii="Arial" w:eastAsia="Arial" w:hAnsi="Arial" w:cs="Arial"/>
          <w:sz w:val="24"/>
          <w:szCs w:val="24"/>
        </w:rPr>
        <w:t xml:space="preserve">Przewodniczący Rady Dydaktycznej: </w:t>
      </w:r>
      <w:r>
        <w:rPr>
          <w:rFonts w:ascii="Arial" w:eastAsia="Arial" w:hAnsi="Arial" w:cs="Arial"/>
          <w:i/>
          <w:sz w:val="24"/>
          <w:szCs w:val="24"/>
        </w:rPr>
        <w:t>M. Raś</w:t>
      </w:r>
      <w:r>
        <w:rPr>
          <w:rFonts w:ascii="Arial" w:eastAsia="Arial" w:hAnsi="Arial" w:cs="Arial"/>
          <w:sz w:val="24"/>
          <w:szCs w:val="24"/>
        </w:rPr>
        <w:t xml:space="preserve"> </w:t>
      </w:r>
    </w:p>
    <w:p w:rsidR="001302A0" w:rsidRDefault="00DA4AC3">
      <w:pPr>
        <w:rPr>
          <w:rFonts w:ascii="Arial" w:eastAsia="Arial" w:hAnsi="Arial" w:cs="Arial"/>
          <w:sz w:val="24"/>
          <w:szCs w:val="24"/>
        </w:rPr>
      </w:pPr>
      <w:r>
        <w:br w:type="page"/>
      </w:r>
    </w:p>
    <w:p w:rsidR="001302A0" w:rsidRDefault="00DA4AC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Załącznik nr 1</w:t>
      </w:r>
    </w:p>
    <w:p w:rsidR="001302A0" w:rsidRDefault="00DA4AC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 dnia  23/05//2024  do uchwały nr 43/2024 Rady Dydaktycznej </w:t>
      </w:r>
      <w:r>
        <w:rPr>
          <w:rFonts w:ascii="Times New Roman" w:eastAsia="Times New Roman" w:hAnsi="Times New Roman" w:cs="Times New Roman"/>
          <w:color w:val="222222"/>
          <w:sz w:val="16"/>
          <w:szCs w:val="16"/>
        </w:rPr>
        <w:t>dla kierunków</w:t>
      </w:r>
    </w:p>
    <w:p w:rsidR="001302A0" w:rsidRDefault="00DA4AC3">
      <w:pPr>
        <w:shd w:val="clear" w:color="auto" w:fill="FFFFFF"/>
        <w:spacing w:after="0" w:line="240" w:lineRule="auto"/>
        <w:jc w:val="right"/>
        <w:rPr>
          <w:rFonts w:ascii="Times New Roman" w:eastAsia="Times New Roman" w:hAnsi="Times New Roman" w:cs="Times New Roman"/>
          <w:color w:val="222222"/>
          <w:sz w:val="16"/>
          <w:szCs w:val="16"/>
        </w:rPr>
      </w:pPr>
      <w:proofErr w:type="spellStart"/>
      <w:r>
        <w:rPr>
          <w:rFonts w:ascii="Times New Roman" w:eastAsia="Times New Roman" w:hAnsi="Times New Roman" w:cs="Times New Roman"/>
          <w:color w:val="222222"/>
          <w:sz w:val="16"/>
          <w:szCs w:val="16"/>
        </w:rPr>
        <w:t>Cyberbezpieczeństwo</w:t>
      </w:r>
      <w:proofErr w:type="spellEnd"/>
      <w:r>
        <w:rPr>
          <w:rFonts w:ascii="Times New Roman" w:eastAsia="Times New Roman" w:hAnsi="Times New Roman" w:cs="Times New Roman"/>
          <w:color w:val="222222"/>
          <w:sz w:val="16"/>
          <w:szCs w:val="16"/>
        </w:rPr>
        <w:t xml:space="preserve">, Bezpieczeństwo wewnętrzne, Europeistyka – integracja europejska, </w:t>
      </w:r>
    </w:p>
    <w:p w:rsidR="001302A0" w:rsidRDefault="00DA4AC3">
      <w:pPr>
        <w:shd w:val="clear" w:color="auto" w:fill="FFFFFF"/>
        <w:spacing w:after="0" w:line="240" w:lineRule="auto"/>
        <w:ind w:left="2832"/>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 xml:space="preserve">Organizowanie rynku pracy, Politologia, Polityka społeczna, </w:t>
      </w:r>
      <w:r>
        <w:rPr>
          <w:rFonts w:ascii="Times New Roman" w:eastAsia="Times New Roman" w:hAnsi="Times New Roman" w:cs="Times New Roman"/>
          <w:color w:val="222222"/>
          <w:sz w:val="16"/>
          <w:szCs w:val="16"/>
        </w:rPr>
        <w:br/>
        <w:t xml:space="preserve">Polityka Publiczna, Stosunki międzynarodowe, </w:t>
      </w:r>
    </w:p>
    <w:p w:rsidR="001302A0" w:rsidRDefault="00DA4AC3">
      <w:pPr>
        <w:shd w:val="clear" w:color="auto" w:fill="FFFFFF"/>
        <w:spacing w:after="0" w:line="240" w:lineRule="auto"/>
        <w:ind w:left="2832"/>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Studia euroazjatyckie</w:t>
      </w:r>
    </w:p>
    <w:p w:rsidR="001302A0" w:rsidRDefault="001302A0"/>
    <w:p w:rsidR="001302A0" w:rsidRDefault="001302A0"/>
    <w:tbl>
      <w:tblPr>
        <w:tblStyle w:val="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01"/>
        <w:gridCol w:w="6379"/>
      </w:tblGrid>
      <w:tr w:rsidR="001302A0">
        <w:tc>
          <w:tcPr>
            <w:tcW w:w="1129" w:type="dxa"/>
          </w:tcPr>
          <w:p w:rsidR="001302A0" w:rsidRDefault="00DA4AC3">
            <w:pPr>
              <w:rPr>
                <w:rFonts w:ascii="Times New Roman" w:eastAsia="Times New Roman" w:hAnsi="Times New Roman" w:cs="Times New Roman"/>
              </w:rPr>
            </w:pPr>
            <w:r>
              <w:rPr>
                <w:rFonts w:ascii="Times New Roman" w:eastAsia="Times New Roman" w:hAnsi="Times New Roman" w:cs="Times New Roman"/>
              </w:rPr>
              <w:t>Numer albumu</w:t>
            </w:r>
          </w:p>
        </w:tc>
        <w:tc>
          <w:tcPr>
            <w:tcW w:w="1701" w:type="dxa"/>
          </w:tcPr>
          <w:p w:rsidR="001302A0" w:rsidRDefault="00DA4AC3">
            <w:pPr>
              <w:rPr>
                <w:rFonts w:ascii="Times New Roman" w:eastAsia="Times New Roman" w:hAnsi="Times New Roman" w:cs="Times New Roman"/>
              </w:rPr>
            </w:pPr>
            <w:r>
              <w:rPr>
                <w:rFonts w:ascii="Times New Roman" w:eastAsia="Times New Roman" w:hAnsi="Times New Roman" w:cs="Times New Roman"/>
              </w:rPr>
              <w:t>Promotor/ka</w:t>
            </w:r>
          </w:p>
        </w:tc>
        <w:tc>
          <w:tcPr>
            <w:tcW w:w="6379" w:type="dxa"/>
          </w:tcPr>
          <w:p w:rsidR="001302A0" w:rsidRDefault="00DA4AC3">
            <w:pPr>
              <w:rPr>
                <w:rFonts w:ascii="Times New Roman" w:eastAsia="Times New Roman" w:hAnsi="Times New Roman" w:cs="Times New Roman"/>
              </w:rPr>
            </w:pPr>
            <w:r>
              <w:rPr>
                <w:rFonts w:ascii="Times New Roman" w:eastAsia="Times New Roman" w:hAnsi="Times New Roman" w:cs="Times New Roman"/>
              </w:rPr>
              <w:t>Tytuł pracy dyplomowej</w:t>
            </w:r>
          </w:p>
        </w:tc>
      </w:tr>
      <w:tr w:rsidR="001302A0">
        <w:tc>
          <w:tcPr>
            <w:tcW w:w="1129" w:type="dxa"/>
          </w:tcPr>
          <w:p w:rsidR="001302A0" w:rsidRDefault="00DA4A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417881</w:t>
            </w:r>
          </w:p>
        </w:tc>
        <w:tc>
          <w:tcPr>
            <w:tcW w:w="1701" w:type="dxa"/>
          </w:tcPr>
          <w:p w:rsidR="001302A0" w:rsidRDefault="00DA4AC3">
            <w:pPr>
              <w:rPr>
                <w:rFonts w:ascii="Times New Roman" w:eastAsia="Times New Roman" w:hAnsi="Times New Roman" w:cs="Times New Roman"/>
              </w:rPr>
            </w:pPr>
            <w:r>
              <w:rPr>
                <w:rFonts w:ascii="Times New Roman" w:eastAsia="Times New Roman" w:hAnsi="Times New Roman" w:cs="Times New Roman"/>
              </w:rPr>
              <w:t xml:space="preserve">dr Iwona </w:t>
            </w:r>
            <w:proofErr w:type="spellStart"/>
            <w:r>
              <w:rPr>
                <w:rFonts w:ascii="Times New Roman" w:eastAsia="Times New Roman" w:hAnsi="Times New Roman" w:cs="Times New Roman"/>
              </w:rPr>
              <w:t>Wyciechowska</w:t>
            </w:r>
            <w:proofErr w:type="spellEnd"/>
          </w:p>
        </w:tc>
        <w:tc>
          <w:tcPr>
            <w:tcW w:w="6379" w:type="dxa"/>
          </w:tcPr>
          <w:p w:rsidR="001302A0" w:rsidRDefault="00DA4AC3">
            <w:pPr>
              <w:rPr>
                <w:rFonts w:ascii="Times New Roman" w:eastAsia="Times New Roman" w:hAnsi="Times New Roman" w:cs="Times New Roman"/>
              </w:rPr>
            </w:pPr>
            <w:r>
              <w:rPr>
                <w:rFonts w:ascii="Times New Roman" w:eastAsia="Times New Roman" w:hAnsi="Times New Roman" w:cs="Times New Roman"/>
              </w:rPr>
              <w:t>Partycypacja obywatelska młodzieży w Polsce w XXI wiek</w:t>
            </w:r>
          </w:p>
          <w:p w:rsidR="001302A0" w:rsidRDefault="001302A0">
            <w:pPr>
              <w:rPr>
                <w:rFonts w:ascii="Times New Roman" w:eastAsia="Times New Roman" w:hAnsi="Times New Roman" w:cs="Times New Roman"/>
              </w:rPr>
            </w:pPr>
          </w:p>
        </w:tc>
      </w:tr>
    </w:tbl>
    <w:p w:rsidR="001302A0" w:rsidRDefault="001302A0">
      <w:pPr>
        <w:rPr>
          <w:rFonts w:ascii="Times New Roman" w:eastAsia="Times New Roman" w:hAnsi="Times New Roman" w:cs="Times New Roman"/>
        </w:rPr>
      </w:pPr>
    </w:p>
    <w:p w:rsidR="001302A0" w:rsidRDefault="001302A0">
      <w:pPr>
        <w:rPr>
          <w:rFonts w:ascii="Times New Roman" w:eastAsia="Times New Roman" w:hAnsi="Times New Roman" w:cs="Times New Roman"/>
        </w:rPr>
      </w:pPr>
    </w:p>
    <w:p w:rsidR="001302A0" w:rsidRDefault="001302A0">
      <w:pPr>
        <w:rPr>
          <w:rFonts w:ascii="Times New Roman" w:eastAsia="Times New Roman" w:hAnsi="Times New Roman" w:cs="Times New Roman"/>
        </w:rPr>
      </w:pPr>
    </w:p>
    <w:sectPr w:rsidR="001302A0">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357"/>
    <w:multiLevelType w:val="multilevel"/>
    <w:tmpl w:val="ADDA1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A0"/>
    <w:rsid w:val="001302A0"/>
    <w:rsid w:val="00DA4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CE29"/>
  <w15:docId w15:val="{B1F187D3-BD5F-4F08-818B-B7FF79B9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294"/>
  </w:style>
  <w:style w:type="paragraph" w:styleId="Nagwek1">
    <w:name w:val="heading 1"/>
    <w:basedOn w:val="Normalny"/>
    <w:next w:val="Normalny"/>
    <w:link w:val="Nagwek1Znak"/>
    <w:uiPriority w:val="9"/>
    <w:qFormat/>
    <w:rsid w:val="00E118E3"/>
    <w:pPr>
      <w:keepNext/>
      <w:keepLines/>
      <w:spacing w:before="240" w:after="0"/>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E118E3"/>
    <w:pPr>
      <w:keepNext/>
      <w:keepLines/>
      <w:spacing w:before="40" w:after="0"/>
      <w:outlineLvl w:val="1"/>
    </w:pPr>
    <w:rPr>
      <w:rFonts w:ascii="Calibri Light" w:eastAsia="Times New Roma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E118E3"/>
    <w:pPr>
      <w:keepNext/>
      <w:keepLines/>
      <w:spacing w:before="40" w:after="0"/>
      <w:outlineLvl w:val="2"/>
    </w:pPr>
    <w:rPr>
      <w:rFonts w:ascii="Calibri Light" w:eastAsia="Times New Roman" w:hAnsi="Calibri Light" w:cs="Times New Roman"/>
      <w:b/>
      <w:bCs/>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E118E3"/>
    <w:pPr>
      <w:spacing w:after="0" w:line="240" w:lineRule="auto"/>
      <w:contextualSpacing/>
    </w:pPr>
    <w:rPr>
      <w:rFonts w:ascii="Calibri Light" w:eastAsia="Times New Roman" w:hAnsi="Calibri Light" w:cs="Times New Roman"/>
      <w:color w:val="323E4F"/>
      <w:spacing w:val="5"/>
      <w:kern w:val="28"/>
      <w:sz w:val="52"/>
      <w:szCs w:val="52"/>
    </w:rPr>
  </w:style>
  <w:style w:type="paragraph" w:styleId="Akapitzlist">
    <w:name w:val="List Paragraph"/>
    <w:basedOn w:val="Normalny"/>
    <w:qFormat/>
    <w:rsid w:val="007B41F7"/>
    <w:pPr>
      <w:spacing w:after="0" w:line="240" w:lineRule="auto"/>
      <w:ind w:left="720"/>
      <w:contextualSpacing/>
    </w:pPr>
    <w:rPr>
      <w:sz w:val="24"/>
      <w:szCs w:val="24"/>
    </w:rPr>
  </w:style>
  <w:style w:type="paragraph" w:customStyle="1" w:styleId="Nagwek11">
    <w:name w:val="Nagłówek 11"/>
    <w:basedOn w:val="Normalny"/>
    <w:next w:val="Normalny"/>
    <w:uiPriority w:val="9"/>
    <w:qFormat/>
    <w:rsid w:val="00E118E3"/>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Nagwek21">
    <w:name w:val="Nagłówek 21"/>
    <w:basedOn w:val="Normalny"/>
    <w:next w:val="Normalny"/>
    <w:uiPriority w:val="9"/>
    <w:unhideWhenUsed/>
    <w:qFormat/>
    <w:rsid w:val="00E118E3"/>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Nagwek31">
    <w:name w:val="Nagłówek 31"/>
    <w:basedOn w:val="Normalny"/>
    <w:next w:val="Normalny"/>
    <w:uiPriority w:val="9"/>
    <w:unhideWhenUsed/>
    <w:qFormat/>
    <w:rsid w:val="00E118E3"/>
    <w:pPr>
      <w:keepNext/>
      <w:keepLines/>
      <w:spacing w:before="200" w:after="0" w:line="276" w:lineRule="auto"/>
      <w:outlineLvl w:val="2"/>
    </w:pPr>
    <w:rPr>
      <w:rFonts w:ascii="Calibri Light" w:eastAsia="Times New Roman" w:hAnsi="Calibri Light" w:cs="Times New Roman"/>
      <w:b/>
      <w:bCs/>
      <w:color w:val="5B9BD5"/>
    </w:rPr>
  </w:style>
  <w:style w:type="numbering" w:customStyle="1" w:styleId="Bezlisty1">
    <w:name w:val="Bez listy1"/>
    <w:next w:val="Bezlisty"/>
    <w:uiPriority w:val="99"/>
    <w:semiHidden/>
    <w:unhideWhenUsed/>
    <w:rsid w:val="00E118E3"/>
  </w:style>
  <w:style w:type="paragraph" w:styleId="Tekstkomentarza">
    <w:name w:val="annotation text"/>
    <w:basedOn w:val="Normalny"/>
    <w:link w:val="TekstkomentarzaZnak1"/>
    <w:uiPriority w:val="99"/>
    <w:semiHidden/>
    <w:rsid w:val="00E118E3"/>
    <w:pPr>
      <w:spacing w:after="200" w:line="240" w:lineRule="auto"/>
    </w:pPr>
    <w:rPr>
      <w:rFonts w:cs="Times New Roman"/>
      <w:sz w:val="20"/>
      <w:szCs w:val="20"/>
    </w:rPr>
  </w:style>
  <w:style w:type="character" w:customStyle="1" w:styleId="TekstkomentarzaZnak">
    <w:name w:val="Tekst komentarza Znak"/>
    <w:basedOn w:val="Domylnaczcionkaakapitu"/>
    <w:uiPriority w:val="99"/>
    <w:semiHidden/>
    <w:rsid w:val="00E118E3"/>
    <w:rPr>
      <w:sz w:val="20"/>
      <w:szCs w:val="20"/>
    </w:rPr>
  </w:style>
  <w:style w:type="character" w:customStyle="1" w:styleId="TekstkomentarzaZnak1">
    <w:name w:val="Tekst komentarza Znak1"/>
    <w:basedOn w:val="Domylnaczcionkaakapitu"/>
    <w:link w:val="Tekstkomentarza"/>
    <w:uiPriority w:val="99"/>
    <w:semiHidden/>
    <w:rsid w:val="00E118E3"/>
    <w:rPr>
      <w:rFonts w:ascii="Calibri" w:eastAsia="Calibri" w:hAnsi="Calibri" w:cs="Times New Roman"/>
      <w:sz w:val="20"/>
      <w:szCs w:val="20"/>
    </w:rPr>
  </w:style>
  <w:style w:type="paragraph" w:styleId="Stopka">
    <w:name w:val="footer"/>
    <w:basedOn w:val="Normalny"/>
    <w:link w:val="StopkaZnak"/>
    <w:uiPriority w:val="99"/>
    <w:unhideWhenUsed/>
    <w:rsid w:val="00E118E3"/>
    <w:pPr>
      <w:tabs>
        <w:tab w:val="center" w:pos="4536"/>
        <w:tab w:val="right" w:pos="9072"/>
      </w:tabs>
      <w:spacing w:after="200" w:line="276" w:lineRule="auto"/>
    </w:pPr>
  </w:style>
  <w:style w:type="character" w:customStyle="1" w:styleId="StopkaZnak">
    <w:name w:val="Stopka Znak"/>
    <w:basedOn w:val="Domylnaczcionkaakapitu"/>
    <w:link w:val="Stopka"/>
    <w:uiPriority w:val="99"/>
    <w:rsid w:val="00E118E3"/>
    <w:rPr>
      <w:rFonts w:ascii="Calibri" w:eastAsia="Calibri" w:hAnsi="Calibri" w:cs="Calibri"/>
    </w:rPr>
  </w:style>
  <w:style w:type="character" w:styleId="Hipercze">
    <w:name w:val="Hyperlink"/>
    <w:uiPriority w:val="99"/>
    <w:rsid w:val="00E118E3"/>
    <w:rPr>
      <w:color w:val="0000FF"/>
      <w:u w:val="single"/>
    </w:rPr>
  </w:style>
  <w:style w:type="character" w:styleId="Pogrubienie">
    <w:name w:val="Strong"/>
    <w:uiPriority w:val="99"/>
    <w:qFormat/>
    <w:rsid w:val="00E118E3"/>
    <w:rPr>
      <w:b/>
      <w:bCs/>
    </w:rPr>
  </w:style>
  <w:style w:type="character" w:styleId="Odwoaniedokomentarza">
    <w:name w:val="annotation reference"/>
    <w:uiPriority w:val="99"/>
    <w:semiHidden/>
    <w:rsid w:val="00E118E3"/>
    <w:rPr>
      <w:sz w:val="16"/>
      <w:szCs w:val="16"/>
    </w:rPr>
  </w:style>
  <w:style w:type="paragraph" w:styleId="Tekstprzypisudolnego">
    <w:name w:val="footnote text"/>
    <w:basedOn w:val="Normalny"/>
    <w:link w:val="TekstprzypisudolnegoZnak"/>
    <w:uiPriority w:val="99"/>
    <w:semiHidden/>
    <w:rsid w:val="00E118E3"/>
    <w:pPr>
      <w:spacing w:after="200" w:line="276"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118E3"/>
    <w:rPr>
      <w:rFonts w:ascii="Calibri" w:eastAsia="Calibri" w:hAnsi="Calibri" w:cs="Times New Roman"/>
      <w:sz w:val="20"/>
      <w:szCs w:val="20"/>
    </w:rPr>
  </w:style>
  <w:style w:type="character" w:styleId="Odwoanieprzypisudolnego">
    <w:name w:val="footnote reference"/>
    <w:uiPriority w:val="99"/>
    <w:semiHidden/>
    <w:rsid w:val="00E118E3"/>
    <w:rPr>
      <w:vertAlign w:val="superscript"/>
    </w:rPr>
  </w:style>
  <w:style w:type="paragraph" w:styleId="Tekstdymka">
    <w:name w:val="Balloon Text"/>
    <w:basedOn w:val="Normalny"/>
    <w:link w:val="TekstdymkaZnak"/>
    <w:uiPriority w:val="99"/>
    <w:semiHidden/>
    <w:rsid w:val="00E118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E118E3"/>
    <w:rPr>
      <w:rFonts w:ascii="Tahoma" w:eastAsia="Calibri" w:hAnsi="Tahoma" w:cs="Times New Roman"/>
      <w:sz w:val="16"/>
      <w:szCs w:val="16"/>
    </w:rPr>
  </w:style>
  <w:style w:type="paragraph" w:styleId="Tematkomentarza">
    <w:name w:val="annotation subject"/>
    <w:basedOn w:val="Tekstkomentarza"/>
    <w:next w:val="Tekstkomentarza"/>
    <w:link w:val="TematkomentarzaZnak"/>
    <w:uiPriority w:val="99"/>
    <w:semiHidden/>
    <w:unhideWhenUsed/>
    <w:rsid w:val="00E118E3"/>
    <w:pPr>
      <w:spacing w:line="276" w:lineRule="auto"/>
    </w:pPr>
    <w:rPr>
      <w:b/>
      <w:bCs/>
    </w:rPr>
  </w:style>
  <w:style w:type="character" w:customStyle="1" w:styleId="TematkomentarzaZnak">
    <w:name w:val="Temat komentarza Znak"/>
    <w:basedOn w:val="TekstkomentarzaZnak"/>
    <w:link w:val="Tematkomentarza"/>
    <w:uiPriority w:val="99"/>
    <w:semiHidden/>
    <w:rsid w:val="00E118E3"/>
    <w:rPr>
      <w:rFonts w:ascii="Calibri" w:eastAsia="Calibri" w:hAnsi="Calibri" w:cs="Times New Roman"/>
      <w:b/>
      <w:bCs/>
      <w:sz w:val="20"/>
      <w:szCs w:val="20"/>
    </w:rPr>
  </w:style>
  <w:style w:type="paragraph" w:styleId="NormalnyWeb">
    <w:name w:val="Normal (Web)"/>
    <w:basedOn w:val="Normalny"/>
    <w:uiPriority w:val="99"/>
    <w:unhideWhenUsed/>
    <w:rsid w:val="00E11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E118E3"/>
  </w:style>
  <w:style w:type="character" w:styleId="UyteHipercze">
    <w:name w:val="FollowedHyperlink"/>
    <w:uiPriority w:val="99"/>
    <w:semiHidden/>
    <w:unhideWhenUsed/>
    <w:rsid w:val="00E118E3"/>
    <w:rPr>
      <w:color w:val="954F72"/>
      <w:u w:val="single"/>
    </w:rPr>
  </w:style>
  <w:style w:type="table" w:styleId="Tabela-Siatka">
    <w:name w:val="Table Grid"/>
    <w:basedOn w:val="Standardowy"/>
    <w:uiPriority w:val="39"/>
    <w:rsid w:val="00E118E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118E3"/>
    <w:pPr>
      <w:spacing w:after="120" w:line="276" w:lineRule="auto"/>
    </w:pPr>
  </w:style>
  <w:style w:type="character" w:customStyle="1" w:styleId="TekstpodstawowyZnak">
    <w:name w:val="Tekst podstawowy Znak"/>
    <w:basedOn w:val="Domylnaczcionkaakapitu"/>
    <w:link w:val="Tekstpodstawowy"/>
    <w:uiPriority w:val="99"/>
    <w:semiHidden/>
    <w:rsid w:val="00E118E3"/>
    <w:rPr>
      <w:rFonts w:ascii="Calibri" w:eastAsia="Calibri" w:hAnsi="Calibri" w:cs="Calibri"/>
    </w:rPr>
  </w:style>
  <w:style w:type="character" w:styleId="HTML-cytat">
    <w:name w:val="HTML Cite"/>
    <w:uiPriority w:val="99"/>
    <w:semiHidden/>
    <w:unhideWhenUsed/>
    <w:rsid w:val="00E118E3"/>
    <w:rPr>
      <w:i/>
      <w:iCs/>
    </w:rPr>
  </w:style>
  <w:style w:type="paragraph" w:styleId="Nagwek">
    <w:name w:val="header"/>
    <w:basedOn w:val="Normalny"/>
    <w:link w:val="NagwekZnak"/>
    <w:unhideWhenUsed/>
    <w:rsid w:val="00E118E3"/>
    <w:pPr>
      <w:tabs>
        <w:tab w:val="center" w:pos="4536"/>
        <w:tab w:val="right" w:pos="9072"/>
      </w:tabs>
      <w:spacing w:after="200" w:line="276" w:lineRule="auto"/>
    </w:pPr>
  </w:style>
  <w:style w:type="character" w:customStyle="1" w:styleId="NagwekZnak">
    <w:name w:val="Nagłówek Znak"/>
    <w:basedOn w:val="Domylnaczcionkaakapitu"/>
    <w:link w:val="Nagwek"/>
    <w:rsid w:val="00E118E3"/>
    <w:rPr>
      <w:rFonts w:ascii="Calibri" w:eastAsia="Calibri" w:hAnsi="Calibri" w:cs="Calibri"/>
    </w:rPr>
  </w:style>
  <w:style w:type="table" w:customStyle="1" w:styleId="TableGrid">
    <w:name w:val="TableGrid"/>
    <w:rsid w:val="00E118E3"/>
    <w:pPr>
      <w:spacing w:after="0" w:line="240" w:lineRule="auto"/>
    </w:pPr>
    <w:rPr>
      <w:rFonts w:eastAsia="Times New Roman" w:cs="Times New Roman"/>
    </w:rPr>
    <w:tblPr>
      <w:tblCellMar>
        <w:top w:w="0" w:type="dxa"/>
        <w:left w:w="0" w:type="dxa"/>
        <w:bottom w:w="0" w:type="dxa"/>
        <w:right w:w="0" w:type="dxa"/>
      </w:tblCellMar>
    </w:tblPr>
  </w:style>
  <w:style w:type="character" w:styleId="Numerstrony">
    <w:name w:val="page number"/>
    <w:semiHidden/>
    <w:rsid w:val="00E118E3"/>
    <w:rPr>
      <w:sz w:val="20"/>
    </w:rPr>
  </w:style>
  <w:style w:type="numbering" w:customStyle="1" w:styleId="Styl1">
    <w:name w:val="Styl1"/>
    <w:uiPriority w:val="99"/>
    <w:rsid w:val="00E118E3"/>
  </w:style>
  <w:style w:type="character" w:customStyle="1" w:styleId="wrtext">
    <w:name w:val="wrtext"/>
    <w:basedOn w:val="Domylnaczcionkaakapitu"/>
    <w:rsid w:val="00E118E3"/>
  </w:style>
  <w:style w:type="paragraph" w:styleId="Bezodstpw">
    <w:name w:val="No Spacing"/>
    <w:uiPriority w:val="1"/>
    <w:qFormat/>
    <w:rsid w:val="00E118E3"/>
    <w:pPr>
      <w:spacing w:after="0" w:line="240" w:lineRule="auto"/>
    </w:pPr>
  </w:style>
  <w:style w:type="character" w:customStyle="1" w:styleId="Nagwek1Znak">
    <w:name w:val="Nagłówek 1 Znak"/>
    <w:basedOn w:val="Domylnaczcionkaakapitu"/>
    <w:link w:val="Nagwek1"/>
    <w:uiPriority w:val="9"/>
    <w:rsid w:val="00E118E3"/>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
    <w:rsid w:val="00E118E3"/>
    <w:rPr>
      <w:rFonts w:ascii="Calibri Light" w:eastAsia="Times New Roman" w:hAnsi="Calibri Light" w:cs="Times New Roman"/>
      <w:b/>
      <w:bCs/>
      <w:color w:val="5B9BD5"/>
      <w:sz w:val="26"/>
      <w:szCs w:val="26"/>
    </w:rPr>
  </w:style>
  <w:style w:type="character" w:customStyle="1" w:styleId="Nagwek3Znak">
    <w:name w:val="Nagłówek 3 Znak"/>
    <w:basedOn w:val="Domylnaczcionkaakapitu"/>
    <w:link w:val="Nagwek3"/>
    <w:uiPriority w:val="9"/>
    <w:rsid w:val="00E118E3"/>
    <w:rPr>
      <w:rFonts w:ascii="Calibri Light" w:eastAsia="Times New Roman" w:hAnsi="Calibri Light" w:cs="Times New Roman"/>
      <w:b/>
      <w:bCs/>
      <w:color w:val="5B9BD5"/>
    </w:rPr>
  </w:style>
  <w:style w:type="paragraph" w:customStyle="1" w:styleId="Tytu1">
    <w:name w:val="Tytuł1"/>
    <w:basedOn w:val="Normalny"/>
    <w:next w:val="Normalny"/>
    <w:uiPriority w:val="10"/>
    <w:qFormat/>
    <w:rsid w:val="00E118E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
    <w:name w:val="Tytuł Znak"/>
    <w:basedOn w:val="Domylnaczcionkaakapitu"/>
    <w:link w:val="Tytu"/>
    <w:uiPriority w:val="10"/>
    <w:rsid w:val="00E118E3"/>
    <w:rPr>
      <w:rFonts w:ascii="Calibri Light" w:eastAsia="Times New Roman" w:hAnsi="Calibri Light" w:cs="Times New Roman"/>
      <w:color w:val="323E4F"/>
      <w:spacing w:val="5"/>
      <w:kern w:val="28"/>
      <w:sz w:val="52"/>
      <w:szCs w:val="52"/>
    </w:rPr>
  </w:style>
  <w:style w:type="table" w:customStyle="1" w:styleId="TableNormal0">
    <w:name w:val="Table Normal"/>
    <w:rsid w:val="00E118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Domylne">
    <w:name w:val="Domyślne"/>
    <w:rsid w:val="00E118E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Poprawka">
    <w:name w:val="Revision"/>
    <w:hidden/>
    <w:uiPriority w:val="99"/>
    <w:semiHidden/>
    <w:rsid w:val="00E118E3"/>
    <w:pPr>
      <w:spacing w:after="0" w:line="240" w:lineRule="auto"/>
    </w:pPr>
  </w:style>
  <w:style w:type="character" w:customStyle="1" w:styleId="Nagwek1Znak1">
    <w:name w:val="Nagłówek 1 Znak1"/>
    <w:basedOn w:val="Domylnaczcionkaakapitu"/>
    <w:uiPriority w:val="9"/>
    <w:rsid w:val="00E118E3"/>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E118E3"/>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E118E3"/>
    <w:rPr>
      <w:rFonts w:asciiTheme="majorHAnsi" w:eastAsiaTheme="majorEastAsia" w:hAnsiTheme="majorHAnsi" w:cstheme="majorBidi"/>
      <w:color w:val="1F4D78" w:themeColor="accent1" w:themeShade="7F"/>
      <w:sz w:val="24"/>
      <w:szCs w:val="24"/>
    </w:rPr>
  </w:style>
  <w:style w:type="character" w:customStyle="1" w:styleId="TytuZnak1">
    <w:name w:val="Tytuł Znak1"/>
    <w:basedOn w:val="Domylnaczcionkaakapitu"/>
    <w:uiPriority w:val="10"/>
    <w:rsid w:val="00E118E3"/>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59"/>
    <w:rsid w:val="00B2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5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B514B"/>
  </w:style>
  <w:style w:type="numbering" w:customStyle="1" w:styleId="WWNum2">
    <w:name w:val="WWNum2"/>
    <w:basedOn w:val="Bezlisty"/>
    <w:rsid w:val="008B514B"/>
  </w:style>
  <w:style w:type="numbering" w:customStyle="1" w:styleId="WWNum3">
    <w:name w:val="WWNum3"/>
    <w:basedOn w:val="Bezlisty"/>
    <w:rsid w:val="008B514B"/>
  </w:style>
  <w:style w:type="table" w:customStyle="1" w:styleId="Tabela-Siatka3">
    <w:name w:val="Tabela - Siatka3"/>
    <w:basedOn w:val="Standardowy"/>
    <w:next w:val="Tabela-Siatka"/>
    <w:uiPriority w:val="39"/>
    <w:rsid w:val="0000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GP4K+cduBT4Cr+rTKCmOMPPRKg==">CgMxLjAyCGguZ2pkZ3hzOAByITFSQnh4MGNuVFZIcEJRbGhzVngwSUdvaklaYUxXUEttNg==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5042</Characters>
  <Application>Microsoft Office Word</Application>
  <DocSecurity>0</DocSecurity>
  <Lines>42</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Sas</dc:creator>
  <cp:lastModifiedBy>WNPiSM UW</cp:lastModifiedBy>
  <cp:revision>2</cp:revision>
  <dcterms:created xsi:type="dcterms:W3CDTF">2024-06-08T12:37:00Z</dcterms:created>
  <dcterms:modified xsi:type="dcterms:W3CDTF">2024-06-18T05:44:00Z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