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12D2" w:rsidRDefault="004C1F40">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0</wp:posOffset>
                </wp:positionV>
                <wp:extent cx="6134100" cy="770890"/>
                <wp:effectExtent l="0" t="0" r="0" b="0"/>
                <wp:wrapNone/>
                <wp:docPr id="15" name="Grupa 15"/>
                <wp:cNvGraphicFramePr/>
                <a:graphic xmlns:a="http://schemas.openxmlformats.org/drawingml/2006/main">
                  <a:graphicData uri="http://schemas.microsoft.com/office/word/2010/wordprocessingGroup">
                    <wpg:wgp>
                      <wpg:cNvGrpSpPr/>
                      <wpg:grpSpPr>
                        <a:xfrm>
                          <a:off x="0" y="0"/>
                          <a:ext cx="6134100" cy="770890"/>
                          <a:chOff x="2278950" y="3394550"/>
                          <a:chExt cx="626135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14:paraId="72A4A1F1"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14:paraId="433388D3"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2278950" y="3394550"/>
                                <a:chExt cx="6134100" cy="770900"/>
                              </a:xfrm>
                            </wpg:grpSpPr>
                            <wps:wsp>
                              <wps:cNvPr id="6" name="Prostokąt 6"/>
                              <wps:cNvSpPr/>
                              <wps:spPr>
                                <a:xfrm>
                                  <a:off x="2278950" y="3394550"/>
                                  <a:ext cx="6134100" cy="770900"/>
                                </a:xfrm>
                                <a:prstGeom prst="rect">
                                  <a:avLst/>
                                </a:prstGeom>
                                <a:noFill/>
                                <a:ln>
                                  <a:noFill/>
                                </a:ln>
                              </wps:spPr>
                              <wps:txbx>
                                <w:txbxContent>
                                  <w:p w14:paraId="32C140EC"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7" name="Grupa 7"/>
                              <wpg:cNvGrpSpPr/>
                              <wpg:grpSpPr>
                                <a:xfrm>
                                  <a:off x="2278950" y="3394555"/>
                                  <a:ext cx="6134100" cy="770890"/>
                                  <a:chOff x="2278950" y="3394550"/>
                                  <a:chExt cx="6134100" cy="770900"/>
                                </a:xfrm>
                              </wpg:grpSpPr>
                              <wps:wsp>
                                <wps:cNvPr id="8" name="Prostokąt 8"/>
                                <wps:cNvSpPr/>
                                <wps:spPr>
                                  <a:xfrm>
                                    <a:off x="2278950" y="3394550"/>
                                    <a:ext cx="6134100" cy="770900"/>
                                  </a:xfrm>
                                  <a:prstGeom prst="rect">
                                    <a:avLst/>
                                  </a:prstGeom>
                                  <a:noFill/>
                                  <a:ln>
                                    <a:noFill/>
                                  </a:ln>
                                </wps:spPr>
                                <wps:txbx>
                                  <w:txbxContent>
                                    <w:p w14:paraId="051F80DC"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9" name="Grupa 9"/>
                                <wpg:cNvGrpSpPr/>
                                <wpg:grpSpPr>
                                  <a:xfrm>
                                    <a:off x="2278950" y="3394555"/>
                                    <a:ext cx="6134100" cy="770890"/>
                                    <a:chOff x="2278950" y="3394550"/>
                                    <a:chExt cx="6134100" cy="770900"/>
                                  </a:xfrm>
                                </wpg:grpSpPr>
                                <wps:wsp>
                                  <wps:cNvPr id="10" name="Prostokąt 10"/>
                                  <wps:cNvSpPr/>
                                  <wps:spPr>
                                    <a:xfrm>
                                      <a:off x="2278950" y="3394550"/>
                                      <a:ext cx="6134100" cy="770900"/>
                                    </a:xfrm>
                                    <a:prstGeom prst="rect">
                                      <a:avLst/>
                                    </a:prstGeom>
                                    <a:noFill/>
                                    <a:ln>
                                      <a:noFill/>
                                    </a:ln>
                                  </wps:spPr>
                                  <wps:txbx>
                                    <w:txbxContent>
                                      <w:p w14:paraId="5765A5CE"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11" name="Grupa 11"/>
                                  <wpg:cNvGrpSpPr/>
                                  <wpg:grpSpPr>
                                    <a:xfrm>
                                      <a:off x="2278950" y="3394555"/>
                                      <a:ext cx="6134100" cy="770890"/>
                                      <a:chOff x="0" y="0"/>
                                      <a:chExt cx="6134100" cy="770890"/>
                                    </a:xfrm>
                                  </wpg:grpSpPr>
                                  <wps:wsp>
                                    <wps:cNvPr id="12" name="Prostokąt 12"/>
                                    <wps:cNvSpPr/>
                                    <wps:spPr>
                                      <a:xfrm>
                                        <a:off x="0" y="0"/>
                                        <a:ext cx="6134100" cy="770875"/>
                                      </a:xfrm>
                                      <a:prstGeom prst="rect">
                                        <a:avLst/>
                                      </a:prstGeom>
                                      <a:noFill/>
                                      <a:ln>
                                        <a:noFill/>
                                      </a:ln>
                                    </wps:spPr>
                                    <wps:txbx>
                                      <w:txbxContent>
                                        <w:p w14:paraId="4D17F8F4"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27"/>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3" name="Prostokąt 13"/>
                                    <wps:cNvSpPr/>
                                    <wps:spPr>
                                      <a:xfrm>
                                        <a:off x="2019300" y="161925"/>
                                        <a:ext cx="4114800" cy="571500"/>
                                      </a:xfrm>
                                      <a:prstGeom prst="rect">
                                        <a:avLst/>
                                      </a:prstGeom>
                                      <a:solidFill>
                                        <a:srgbClr val="FFFFFF"/>
                                      </a:solidFill>
                                      <a:ln>
                                        <a:noFill/>
                                      </a:ln>
                                    </wps:spPr>
                                    <wps:txbx>
                                      <w:txbxContent>
                                        <w:p w14:paraId="544F8C18" w14:textId="77777777" w:rsidR="00EA12D2" w:rsidRDefault="004C1F40">
                                          <w:pPr>
                                            <w:spacing w:after="0" w:line="240" w:lineRule="auto"/>
                                            <w:textDirection w:val="btLr"/>
                                          </w:pPr>
                                          <w:r>
                                            <w:rPr>
                                              <w:rFonts w:ascii="Arial" w:eastAsia="Arial" w:hAnsi="Arial" w:cs="Arial"/>
                                              <w:b/>
                                              <w:smallCaps/>
                                              <w:color w:val="000000"/>
                                              <w:sz w:val="24"/>
                                            </w:rPr>
                                            <w:t>DZIENNIK UNIWERSYTETU WARSZAWSKIEGO</w:t>
                                          </w:r>
                                        </w:p>
                                        <w:p w14:paraId="0ABE46EB" w14:textId="77777777" w:rsidR="00EA12D2" w:rsidRDefault="004C1F40">
                                          <w:pPr>
                                            <w:spacing w:after="0" w:line="240" w:lineRule="auto"/>
                                            <w:ind w:left="1275" w:firstLine="6375"/>
                                            <w:textDirection w:val="btLr"/>
                                          </w:pPr>
                                          <w:r>
                                            <w:rPr>
                                              <w:rFonts w:ascii="Arial" w:eastAsia="Arial" w:hAnsi="Arial" w:cs="Arial"/>
                                              <w:color w:val="000000"/>
                                              <w:sz w:val="24"/>
                                            </w:rPr>
                                            <w:t>RADY DYDAKTYCZNE</w:t>
                                          </w:r>
                                        </w:p>
                                        <w:p w14:paraId="40B362D0" w14:textId="77777777" w:rsidR="00EA12D2" w:rsidRDefault="00EA12D2">
                                          <w:pPr>
                                            <w:spacing w:line="258" w:lineRule="auto"/>
                                            <w:textDirection w:val="btLr"/>
                                          </w:pPr>
                                        </w:p>
                                      </w:txbxContent>
                                    </wps:txbx>
                                    <wps:bodyPr spcFirstLastPara="1" wrap="square" lIns="91425" tIns="45700" rIns="91425" bIns="45700" anchor="t" anchorCtr="0">
                                      <a:noAutofit/>
                                    </wps:bodyPr>
                                  </wps:wsp>
                                </wpg:grpSp>
                              </wpg:grp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134100" cy="770890"/>
                <wp:effectExtent b="0" l="0" r="0" t="0"/>
                <wp:wrapNone/>
                <wp:docPr id="1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0</wp:posOffset>
                </wp:positionV>
                <wp:extent cx="6134100" cy="770890"/>
                <wp:effectExtent l="0" t="0" r="0" b="0"/>
                <wp:wrapNone/>
                <wp:docPr id="14" name="Grupa 14"/>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6" name="Grupa 16"/>
                        <wpg:cNvGrpSpPr/>
                        <wpg:grpSpPr>
                          <a:xfrm>
                            <a:off x="2278950" y="3394555"/>
                            <a:ext cx="6134100" cy="770890"/>
                            <a:chOff x="2278950" y="3394550"/>
                            <a:chExt cx="6134100" cy="770900"/>
                          </a:xfrm>
                        </wpg:grpSpPr>
                        <wps:wsp>
                          <wps:cNvPr id="17" name="Prostokąt 17"/>
                          <wps:cNvSpPr/>
                          <wps:spPr>
                            <a:xfrm>
                              <a:off x="2278950" y="3394550"/>
                              <a:ext cx="6134100" cy="770900"/>
                            </a:xfrm>
                            <a:prstGeom prst="rect">
                              <a:avLst/>
                            </a:prstGeom>
                            <a:noFill/>
                            <a:ln>
                              <a:noFill/>
                            </a:ln>
                          </wps:spPr>
                          <wps:txbx>
                            <w:txbxContent>
                              <w:p w14:paraId="54982ACE"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18" name="Grupa 18"/>
                          <wpg:cNvGrpSpPr/>
                          <wpg:grpSpPr>
                            <a:xfrm>
                              <a:off x="2278950" y="3394555"/>
                              <a:ext cx="6134100" cy="770890"/>
                              <a:chOff x="2278950" y="3394550"/>
                              <a:chExt cx="6134100" cy="770900"/>
                            </a:xfrm>
                          </wpg:grpSpPr>
                          <wps:wsp>
                            <wps:cNvPr id="19" name="Prostokąt 19"/>
                            <wps:cNvSpPr/>
                            <wps:spPr>
                              <a:xfrm>
                                <a:off x="2278950" y="3394550"/>
                                <a:ext cx="6134100" cy="770900"/>
                              </a:xfrm>
                              <a:prstGeom prst="rect">
                                <a:avLst/>
                              </a:prstGeom>
                              <a:noFill/>
                              <a:ln>
                                <a:noFill/>
                              </a:ln>
                            </wps:spPr>
                            <wps:txbx>
                              <w:txbxContent>
                                <w:p w14:paraId="3C0BDA0E"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20" name="Grupa 20"/>
                            <wpg:cNvGrpSpPr/>
                            <wpg:grpSpPr>
                              <a:xfrm>
                                <a:off x="2278950" y="3394555"/>
                                <a:ext cx="6134100" cy="770890"/>
                                <a:chOff x="2278950" y="3394550"/>
                                <a:chExt cx="6134100" cy="770900"/>
                              </a:xfrm>
                            </wpg:grpSpPr>
                            <wps:wsp>
                              <wps:cNvPr id="21" name="Prostokąt 21"/>
                              <wps:cNvSpPr/>
                              <wps:spPr>
                                <a:xfrm>
                                  <a:off x="2278950" y="3394550"/>
                                  <a:ext cx="6134100" cy="770900"/>
                                </a:xfrm>
                                <a:prstGeom prst="rect">
                                  <a:avLst/>
                                </a:prstGeom>
                                <a:noFill/>
                                <a:ln>
                                  <a:noFill/>
                                </a:ln>
                              </wps:spPr>
                              <wps:txbx>
                                <w:txbxContent>
                                  <w:p w14:paraId="2C021A11"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22" name="Grupa 22"/>
                              <wpg:cNvGrpSpPr/>
                              <wpg:grpSpPr>
                                <a:xfrm>
                                  <a:off x="2278950" y="3394555"/>
                                  <a:ext cx="6134100" cy="770890"/>
                                  <a:chOff x="2278950" y="3394550"/>
                                  <a:chExt cx="6134100" cy="770900"/>
                                </a:xfrm>
                              </wpg:grpSpPr>
                              <wps:wsp>
                                <wps:cNvPr id="23" name="Prostokąt 23"/>
                                <wps:cNvSpPr/>
                                <wps:spPr>
                                  <a:xfrm>
                                    <a:off x="2278950" y="3394550"/>
                                    <a:ext cx="6134100" cy="770900"/>
                                  </a:xfrm>
                                  <a:prstGeom prst="rect">
                                    <a:avLst/>
                                  </a:prstGeom>
                                  <a:noFill/>
                                  <a:ln>
                                    <a:noFill/>
                                  </a:ln>
                                </wps:spPr>
                                <wps:txbx>
                                  <w:txbxContent>
                                    <w:p w14:paraId="2690ED83"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24" name="Grupa 24"/>
                                <wpg:cNvGrpSpPr/>
                                <wpg:grpSpPr>
                                  <a:xfrm>
                                    <a:off x="2278950" y="3394555"/>
                                    <a:ext cx="6134100" cy="770890"/>
                                    <a:chOff x="2278950" y="3394550"/>
                                    <a:chExt cx="6134100" cy="770900"/>
                                  </a:xfrm>
                                </wpg:grpSpPr>
                                <wps:wsp>
                                  <wps:cNvPr id="25" name="Prostokąt 25"/>
                                  <wps:cNvSpPr/>
                                  <wps:spPr>
                                    <a:xfrm>
                                      <a:off x="2278950" y="3394550"/>
                                      <a:ext cx="6134100" cy="770900"/>
                                    </a:xfrm>
                                    <a:prstGeom prst="rect">
                                      <a:avLst/>
                                    </a:prstGeom>
                                    <a:noFill/>
                                    <a:ln>
                                      <a:noFill/>
                                    </a:ln>
                                  </wps:spPr>
                                  <wps:txbx>
                                    <w:txbxContent>
                                      <w:p w14:paraId="57AB0FAD"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wpg:grpSp>
                                  <wpg:cNvPr id="26" name="Grupa 26"/>
                                  <wpg:cNvGrpSpPr/>
                                  <wpg:grpSpPr>
                                    <a:xfrm>
                                      <a:off x="2278950" y="3394555"/>
                                      <a:ext cx="6134100" cy="770890"/>
                                      <a:chOff x="0" y="0"/>
                                      <a:chExt cx="6134100" cy="770890"/>
                                    </a:xfrm>
                                  </wpg:grpSpPr>
                                  <wps:wsp>
                                    <wps:cNvPr id="28" name="Prostokąt 28"/>
                                    <wps:cNvSpPr/>
                                    <wps:spPr>
                                      <a:xfrm>
                                        <a:off x="0" y="0"/>
                                        <a:ext cx="6134100" cy="770875"/>
                                      </a:xfrm>
                                      <a:prstGeom prst="rect">
                                        <a:avLst/>
                                      </a:prstGeom>
                                      <a:noFill/>
                                      <a:ln>
                                        <a:noFill/>
                                      </a:ln>
                                    </wps:spPr>
                                    <wps:txbx>
                                      <w:txbxContent>
                                        <w:p w14:paraId="04985F4B" w14:textId="77777777" w:rsidR="00EA12D2" w:rsidRDefault="00EA12D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 name="Shape 14"/>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30" name="Prostokąt 30"/>
                                    <wps:cNvSpPr/>
                                    <wps:spPr>
                                      <a:xfrm>
                                        <a:off x="2019300" y="161925"/>
                                        <a:ext cx="4114800" cy="571500"/>
                                      </a:xfrm>
                                      <a:prstGeom prst="rect">
                                        <a:avLst/>
                                      </a:prstGeom>
                                      <a:solidFill>
                                        <a:srgbClr val="FFFFFF"/>
                                      </a:solidFill>
                                      <a:ln>
                                        <a:noFill/>
                                      </a:ln>
                                    </wps:spPr>
                                    <wps:txbx>
                                      <w:txbxContent>
                                        <w:p w14:paraId="4895452A" w14:textId="77777777" w:rsidR="00EA12D2" w:rsidRPr="00E53972" w:rsidRDefault="004C1F40">
                                          <w:pPr>
                                            <w:spacing w:after="0" w:line="240" w:lineRule="auto"/>
                                            <w:textDirection w:val="btLr"/>
                                            <w:rPr>
                                              <w:lang w:val="pl-PL"/>
                                            </w:rPr>
                                          </w:pPr>
                                          <w:r w:rsidRPr="00E53972">
                                            <w:rPr>
                                              <w:rFonts w:ascii="Arial" w:eastAsia="Arial" w:hAnsi="Arial" w:cs="Arial"/>
                                              <w:b/>
                                              <w:smallCaps/>
                                              <w:color w:val="000000"/>
                                              <w:sz w:val="24"/>
                                              <w:lang w:val="pl-PL"/>
                                            </w:rPr>
                                            <w:t>DZIENNIK UNIWERSYTETU WARSZAWSKIEGO</w:t>
                                          </w:r>
                                        </w:p>
                                        <w:p w14:paraId="218B47C8" w14:textId="77777777" w:rsidR="00EA12D2" w:rsidRPr="00E53972" w:rsidRDefault="004C1F40">
                                          <w:pPr>
                                            <w:spacing w:after="0" w:line="240" w:lineRule="auto"/>
                                            <w:textDirection w:val="btLr"/>
                                            <w:rPr>
                                              <w:lang w:val="pl-PL"/>
                                            </w:rPr>
                                          </w:pPr>
                                          <w:r w:rsidRPr="00E53972">
                                            <w:rPr>
                                              <w:rFonts w:ascii="Arial" w:eastAsia="Arial" w:hAnsi="Arial" w:cs="Arial"/>
                                              <w:color w:val="000000"/>
                                              <w:sz w:val="24"/>
                                              <w:u w:val="single"/>
                                              <w:lang w:val="pl-PL"/>
                                            </w:rPr>
                                            <w:t>RADY DYDAKTYCZNE DLA KIERUNKÓW STUDIÓW</w:t>
                                          </w:r>
                                        </w:p>
                                        <w:p w14:paraId="774D903B" w14:textId="77777777" w:rsidR="00EA12D2" w:rsidRPr="00E53972" w:rsidRDefault="00EA12D2">
                                          <w:pPr>
                                            <w:spacing w:line="258" w:lineRule="auto"/>
                                            <w:textDirection w:val="btLr"/>
                                            <w:rPr>
                                              <w:lang w:val="pl-PL"/>
                                            </w:rPr>
                                          </w:pPr>
                                        </w:p>
                                      </w:txbxContent>
                                    </wps:txbx>
                                    <wps:bodyPr spcFirstLastPara="1" wrap="square" lIns="91425" tIns="45700" rIns="91425" bIns="45700" anchor="t" anchorCtr="0">
                                      <a:noAutofit/>
                                    </wps:bodyPr>
                                  </wps:wsp>
                                </wpg:grpSp>
                              </wpg:grp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134100" cy="770890"/>
                <wp:effectExtent b="0" l="0" r="0" t="0"/>
                <wp:wrapNone/>
                <wp:docPr id="1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134100" cy="770890"/>
                        </a:xfrm>
                        <a:prstGeom prst="rect"/>
                        <a:ln/>
                      </pic:spPr>
                    </pic:pic>
                  </a:graphicData>
                </a:graphic>
              </wp:anchor>
            </w:drawing>
          </mc:Fallback>
        </mc:AlternateContent>
      </w:r>
    </w:p>
    <w:p w14:paraId="00000002" w14:textId="77777777" w:rsidR="00EA12D2" w:rsidRDefault="00EA12D2"/>
    <w:p w14:paraId="00000003" w14:textId="77777777" w:rsidR="00EA12D2" w:rsidRDefault="004C1F40">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00000005" w14:textId="5B0A037C" w:rsidR="00EA12D2" w:rsidRDefault="00EA12D2">
      <w:pPr>
        <w:spacing w:after="0" w:line="240" w:lineRule="auto"/>
        <w:rPr>
          <w:rFonts w:ascii="Arial" w:eastAsia="Arial" w:hAnsi="Arial" w:cs="Arial"/>
          <w:b/>
          <w:sz w:val="24"/>
          <w:szCs w:val="24"/>
        </w:rPr>
      </w:pPr>
    </w:p>
    <w:p w14:paraId="00000006" w14:textId="77777777" w:rsidR="00EA12D2" w:rsidRDefault="004C1F40">
      <w:pPr>
        <w:spacing w:after="0" w:line="240" w:lineRule="auto"/>
        <w:jc w:val="center"/>
        <w:rPr>
          <w:rFonts w:ascii="Arial" w:eastAsia="Arial" w:hAnsi="Arial" w:cs="Arial"/>
          <w:b/>
          <w:sz w:val="24"/>
          <w:szCs w:val="24"/>
        </w:rPr>
      </w:pPr>
      <w:r>
        <w:rPr>
          <w:rFonts w:ascii="Arial" w:eastAsia="Arial" w:hAnsi="Arial" w:cs="Arial"/>
          <w:b/>
          <w:sz w:val="24"/>
          <w:szCs w:val="24"/>
        </w:rPr>
        <w:t>UCHWAŁA NR 28/2025</w:t>
      </w:r>
    </w:p>
    <w:p w14:paraId="00000007" w14:textId="77777777" w:rsidR="00EA12D2" w:rsidRDefault="004C1F40">
      <w:pPr>
        <w:spacing w:after="0" w:line="240" w:lineRule="auto"/>
        <w:jc w:val="center"/>
        <w:rPr>
          <w:rFonts w:ascii="Arial" w:eastAsia="Arial" w:hAnsi="Arial" w:cs="Arial"/>
          <w:b/>
          <w:sz w:val="24"/>
          <w:szCs w:val="24"/>
        </w:rPr>
      </w:pPr>
      <w:r>
        <w:rPr>
          <w:rFonts w:ascii="Arial" w:eastAsia="Arial" w:hAnsi="Arial" w:cs="Arial"/>
          <w:b/>
          <w:color w:val="000000"/>
          <w:sz w:val="24"/>
          <w:szCs w:val="24"/>
        </w:rPr>
        <w:t>RADY DYDAKTYCZNEJ DLA KIERUNKÓW STUDIÓW EUROPEAN POLITICS AND ECONOMICS, GRADUATE PROGRAMME IN INTERNATIONAL RELATIONS, GRADUATE PROGRAMME IN POLITICAL SCIENCE, SOCIAL AND PUBLIC POLICY, UNDERGRADUATE PROGRAMME IN INTERNATIONAL</w:t>
      </w:r>
      <w:r>
        <w:rPr>
          <w:rFonts w:ascii="Arial" w:eastAsia="Arial" w:hAnsi="Arial" w:cs="Arial"/>
          <w:b/>
          <w:i/>
          <w:color w:val="000000"/>
          <w:sz w:val="24"/>
          <w:szCs w:val="24"/>
        </w:rPr>
        <w:t xml:space="preserve"> </w:t>
      </w:r>
      <w:r>
        <w:rPr>
          <w:rFonts w:ascii="Arial" w:eastAsia="Arial" w:hAnsi="Arial" w:cs="Arial"/>
          <w:b/>
          <w:color w:val="000000"/>
          <w:sz w:val="24"/>
          <w:szCs w:val="24"/>
        </w:rPr>
        <w:t>RELATIONS, UNDERGRADUATE PROGRAMME IN POLITICAL SCIENCE</w:t>
      </w:r>
    </w:p>
    <w:p w14:paraId="00000008" w14:textId="21E7FCD2" w:rsidR="00EA12D2" w:rsidRPr="00E53972" w:rsidRDefault="004C1F40">
      <w:pPr>
        <w:spacing w:before="240" w:after="240" w:line="240" w:lineRule="auto"/>
        <w:jc w:val="center"/>
        <w:rPr>
          <w:rFonts w:ascii="Arial" w:eastAsia="Arial" w:hAnsi="Arial" w:cs="Arial"/>
          <w:sz w:val="24"/>
          <w:szCs w:val="24"/>
          <w:lang w:val="pl-PL"/>
        </w:rPr>
      </w:pPr>
      <w:r w:rsidRPr="00E53972">
        <w:rPr>
          <w:rFonts w:ascii="Arial" w:eastAsia="Arial" w:hAnsi="Arial" w:cs="Arial"/>
          <w:sz w:val="24"/>
          <w:szCs w:val="24"/>
          <w:lang w:val="pl-PL"/>
        </w:rPr>
        <w:t xml:space="preserve">z </w:t>
      </w:r>
      <w:r w:rsidR="00E53972">
        <w:rPr>
          <w:rFonts w:ascii="Arial" w:eastAsia="Arial" w:hAnsi="Arial" w:cs="Arial"/>
          <w:sz w:val="24"/>
          <w:szCs w:val="24"/>
          <w:lang w:val="pl-PL"/>
        </w:rPr>
        <w:t>dnia 3 czerwca</w:t>
      </w:r>
      <w:r w:rsidRPr="00E53972">
        <w:rPr>
          <w:rFonts w:ascii="Arial" w:eastAsia="Arial" w:hAnsi="Arial" w:cs="Arial"/>
          <w:sz w:val="24"/>
          <w:szCs w:val="24"/>
          <w:lang w:val="pl-PL"/>
        </w:rPr>
        <w:t xml:space="preserve"> 2025 r.</w:t>
      </w:r>
    </w:p>
    <w:p w14:paraId="00000009" w14:textId="77777777" w:rsidR="00EA12D2" w:rsidRPr="00E53972" w:rsidRDefault="004C1F40">
      <w:pPr>
        <w:spacing w:before="120" w:after="120" w:line="240" w:lineRule="auto"/>
        <w:jc w:val="center"/>
        <w:rPr>
          <w:rFonts w:ascii="Arial" w:eastAsia="Arial" w:hAnsi="Arial" w:cs="Arial"/>
          <w:b/>
          <w:sz w:val="24"/>
          <w:szCs w:val="24"/>
          <w:lang w:val="pl-PL"/>
        </w:rPr>
      </w:pPr>
      <w:r w:rsidRPr="00E53972">
        <w:rPr>
          <w:rFonts w:ascii="Arial" w:eastAsia="Arial" w:hAnsi="Arial" w:cs="Arial"/>
          <w:b/>
          <w:sz w:val="24"/>
          <w:szCs w:val="24"/>
          <w:lang w:val="pl-PL"/>
        </w:rPr>
        <w:t>w sprawie zatwierdzania tematów (tytułów) prac dyplomowych</w:t>
      </w:r>
    </w:p>
    <w:p w14:paraId="0000000A" w14:textId="77777777" w:rsidR="00EA12D2" w:rsidRPr="00E53972" w:rsidRDefault="00EA12D2">
      <w:pPr>
        <w:spacing w:before="120" w:after="120" w:line="240" w:lineRule="auto"/>
        <w:jc w:val="center"/>
        <w:rPr>
          <w:rFonts w:ascii="Arial" w:eastAsia="Arial" w:hAnsi="Arial" w:cs="Arial"/>
          <w:b/>
          <w:sz w:val="24"/>
          <w:szCs w:val="24"/>
          <w:lang w:val="pl-PL"/>
        </w:rPr>
      </w:pPr>
    </w:p>
    <w:p w14:paraId="0000000B" w14:textId="77777777" w:rsidR="00EA12D2" w:rsidRPr="00E53972" w:rsidRDefault="004C1F40">
      <w:pPr>
        <w:spacing w:before="120" w:after="120" w:line="240" w:lineRule="auto"/>
        <w:ind w:firstLine="720"/>
        <w:jc w:val="both"/>
        <w:rPr>
          <w:rFonts w:ascii="Arial" w:eastAsia="Arial" w:hAnsi="Arial" w:cs="Arial"/>
          <w:b/>
          <w:sz w:val="24"/>
          <w:szCs w:val="24"/>
          <w:lang w:val="pl-PL"/>
        </w:rPr>
      </w:pPr>
      <w:r w:rsidRPr="00E53972">
        <w:rPr>
          <w:rFonts w:ascii="Arial" w:eastAsia="Arial" w:hAnsi="Arial" w:cs="Arial"/>
          <w:sz w:val="24"/>
          <w:szCs w:val="24"/>
          <w:lang w:val="pl-PL"/>
        </w:rPr>
        <w:t>Działając na podstawie § 5 ust. 8 Regulaminu Studiów na Uniwersytecie Warszawskim stanowiącego załącznik do uchwały nr 441 Senatu Uniwersytetu Warszawskiego z dnia 19 czerwca 2019 r. w sprawie uchwalenia Regulaminu Studiów na Uniwersytecie Warszawskim (Monitor UW z 2019 r. poz. 186 z późn. zm.) w powiązaniu z uchwałą nr 1/2020 Rady Dydaktycznej dla kierunków bezpieczeństwo wewnętrzne, europeistyka, organizowanie rynku pracy, politologia, polityka społeczna, stosunki międzynarodowe, studia euroazjatyckie, Undergraduate Programme in International Relations, Undergraduate Programme in Political Science, Graduate Programme in International Relations, Graduate Programme in Political Science</w:t>
      </w:r>
      <w:r w:rsidRPr="00E53972">
        <w:rPr>
          <w:lang w:val="pl-PL"/>
        </w:rPr>
        <w:t xml:space="preserve"> </w:t>
      </w:r>
      <w:r w:rsidRPr="00E53972">
        <w:rPr>
          <w:rFonts w:ascii="Arial" w:eastAsia="Arial" w:hAnsi="Arial" w:cs="Arial"/>
          <w:sz w:val="24"/>
          <w:szCs w:val="24"/>
          <w:lang w:val="pl-PL"/>
        </w:rPr>
        <w:t xml:space="preserve">z dnia 29 stycznia 2020 r. w sprawie </w:t>
      </w:r>
      <w:r w:rsidRPr="00E53972">
        <w:rPr>
          <w:rFonts w:ascii="Arial" w:eastAsia="Arial" w:hAnsi="Arial" w:cs="Arial"/>
          <w:color w:val="222222"/>
          <w:sz w:val="24"/>
          <w:szCs w:val="24"/>
          <w:lang w:val="pl-PL"/>
        </w:rPr>
        <w:t xml:space="preserve">zatwierdzania tematów (tytułów) prac dyplomowych oraz </w:t>
      </w:r>
      <w:r w:rsidRPr="00E53972">
        <w:rPr>
          <w:rFonts w:ascii="Arial" w:eastAsia="Arial" w:hAnsi="Arial" w:cs="Arial"/>
          <w:sz w:val="24"/>
          <w:szCs w:val="24"/>
          <w:lang w:val="pl-PL"/>
        </w:rPr>
        <w:t>uchwałami nr 33/2020, 35/2020, 36/2020, 42/2020, 43/2020 Rady Dydaktycznej dla kierunków bezpieczeństwo wewnętrzne, europeistyka – integracja europejska, organizowanie rynku pracy, politologia, polityka społeczna, stosunki międzynarodowe, studia euroazjatyckie, Undergraduate Programme in International Relations, Undergraduate Programme in Political Science, Graduate Programme in International Relations, Graduate Programme in Political Science, European Politics and Economics z dnia 19 lipca 2020 r. w sprawie szczegółowych zasad procesu dyplomowania na kierunku odpowiednio European Politics and Economics, Graduate Programme in International Relations, Graduate Programme in Political Science, Undergraduate Programme in International Relations, Undergraduate Programme in Political Science</w:t>
      </w:r>
      <w:r w:rsidRPr="00E53972">
        <w:rPr>
          <w:rFonts w:ascii="Arial" w:eastAsia="Arial" w:hAnsi="Arial" w:cs="Arial"/>
          <w:color w:val="222222"/>
          <w:sz w:val="24"/>
          <w:szCs w:val="24"/>
          <w:lang w:val="pl-PL"/>
        </w:rPr>
        <w:t>,</w:t>
      </w:r>
      <w:r w:rsidRPr="00E53972">
        <w:rPr>
          <w:rFonts w:ascii="Arial" w:eastAsia="Arial" w:hAnsi="Arial" w:cs="Arial"/>
          <w:sz w:val="24"/>
          <w:szCs w:val="24"/>
          <w:lang w:val="pl-PL"/>
        </w:rPr>
        <w:t xml:space="preserve"> Rada Dydaktyczna przyjmuje poniższe zasady zatwierdzania tematów (tytułów) prac dyplomowych na kierunkach studiów: European Politics and Economics, Graduate Programme in International Relations, Graduate Programme in Political Science, Undergraduate Programme in International Relations, Undergraduate Programme in Political Science.</w:t>
      </w:r>
    </w:p>
    <w:p w14:paraId="0000000C" w14:textId="77777777" w:rsidR="00EA12D2" w:rsidRPr="00E53972" w:rsidRDefault="004C1F40">
      <w:pPr>
        <w:shd w:val="clear" w:color="auto" w:fill="FFFFFF"/>
        <w:spacing w:after="0" w:line="240" w:lineRule="auto"/>
        <w:jc w:val="center"/>
        <w:rPr>
          <w:rFonts w:ascii="Arial" w:eastAsia="Arial" w:hAnsi="Arial" w:cs="Arial"/>
          <w:color w:val="222222"/>
          <w:sz w:val="24"/>
          <w:szCs w:val="24"/>
          <w:lang w:val="pl-PL"/>
        </w:rPr>
      </w:pPr>
      <w:r w:rsidRPr="00E53972">
        <w:rPr>
          <w:rFonts w:ascii="Arial" w:eastAsia="Arial" w:hAnsi="Arial" w:cs="Arial"/>
          <w:color w:val="222222"/>
          <w:sz w:val="24"/>
          <w:szCs w:val="24"/>
          <w:lang w:val="pl-PL"/>
        </w:rPr>
        <w:t>§1</w:t>
      </w:r>
    </w:p>
    <w:p w14:paraId="0000000D" w14:textId="77777777" w:rsidR="00EA12D2" w:rsidRPr="00E53972" w:rsidRDefault="00EA12D2">
      <w:pPr>
        <w:shd w:val="clear" w:color="auto" w:fill="FFFFFF"/>
        <w:spacing w:after="0" w:line="240" w:lineRule="auto"/>
        <w:jc w:val="both"/>
        <w:rPr>
          <w:rFonts w:ascii="Arial" w:eastAsia="Arial" w:hAnsi="Arial" w:cs="Arial"/>
          <w:color w:val="222222"/>
          <w:sz w:val="24"/>
          <w:szCs w:val="24"/>
          <w:lang w:val="pl-PL"/>
        </w:rPr>
      </w:pPr>
    </w:p>
    <w:p w14:paraId="0000000E" w14:textId="77777777" w:rsidR="00EA12D2" w:rsidRPr="00E53972" w:rsidRDefault="00E53972">
      <w:pPr>
        <w:shd w:val="clear" w:color="auto" w:fill="FFFFFF"/>
        <w:spacing w:after="0" w:line="240" w:lineRule="auto"/>
        <w:ind w:firstLine="720"/>
        <w:jc w:val="both"/>
        <w:rPr>
          <w:rFonts w:ascii="Arial" w:eastAsia="Arial" w:hAnsi="Arial" w:cs="Arial"/>
          <w:sz w:val="24"/>
          <w:szCs w:val="24"/>
          <w:lang w:val="pl-PL"/>
        </w:rPr>
      </w:pPr>
      <w:sdt>
        <w:sdtPr>
          <w:tag w:val="goog_rdk_0"/>
          <w:id w:val="414673814"/>
        </w:sdtPr>
        <w:sdtEndPr/>
        <w:sdtContent/>
      </w:sdt>
      <w:r w:rsidR="004C1F40" w:rsidRPr="00E53972">
        <w:rPr>
          <w:rFonts w:ascii="Arial" w:eastAsia="Arial" w:hAnsi="Arial" w:cs="Arial"/>
          <w:sz w:val="24"/>
          <w:szCs w:val="24"/>
          <w:lang w:val="pl-PL"/>
        </w:rPr>
        <w:t>Kierujący pracami dyplomowymi zgłaszają uzgodnione tematy prac do Sekcji planowania i organizacji dydaktyki WNPSM wraz z krótką (max. 1500 znaków) przygotowaną przez studenta/studentkę informacją o założeniach pracy: </w:t>
      </w:r>
    </w:p>
    <w:p w14:paraId="0000000F"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bookmarkStart w:id="0" w:name="_heading=h.x32xu6x7dgdj" w:colFirst="0" w:colLast="0"/>
      <w:bookmarkEnd w:id="0"/>
      <w:r w:rsidRPr="00E53972">
        <w:rPr>
          <w:rFonts w:ascii="Arial" w:eastAsia="Arial" w:hAnsi="Arial" w:cs="Arial"/>
          <w:sz w:val="24"/>
          <w:szCs w:val="24"/>
          <w:lang w:val="pl-PL"/>
        </w:rPr>
        <w:t>- najpóźniej do 30 listopada danego roku akademickiego, w którym ma nastąpić egzamin dyplomowy w przypadku studiów II stopnia;</w:t>
      </w:r>
    </w:p>
    <w:p w14:paraId="00000010"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lastRenderedPageBreak/>
        <w:t>- najpóźniej do 15 grudnia danego roku akademickiego, w którym ma nastąpić egzamin dyplomowy w przypadku studiów I stopnia;</w:t>
      </w:r>
    </w:p>
    <w:p w14:paraId="00000011"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t>- w przypadku zmiany tematu pracy – niezwłocznie po uzgodnieniu zmienionego tematu.</w:t>
      </w:r>
    </w:p>
    <w:p w14:paraId="00000012" w14:textId="77777777" w:rsidR="00EA12D2" w:rsidRPr="00E53972" w:rsidRDefault="00EA12D2">
      <w:pPr>
        <w:shd w:val="clear" w:color="auto" w:fill="FFFFFF"/>
        <w:spacing w:after="0" w:line="240" w:lineRule="auto"/>
        <w:jc w:val="both"/>
        <w:rPr>
          <w:rFonts w:ascii="Arial" w:eastAsia="Arial" w:hAnsi="Arial" w:cs="Arial"/>
          <w:color w:val="222222"/>
          <w:sz w:val="24"/>
          <w:szCs w:val="24"/>
          <w:lang w:val="pl-PL"/>
        </w:rPr>
      </w:pPr>
    </w:p>
    <w:p w14:paraId="00000013" w14:textId="77777777" w:rsidR="00EA12D2" w:rsidRPr="00E53972" w:rsidRDefault="004C1F40">
      <w:pPr>
        <w:shd w:val="clear" w:color="auto" w:fill="FFFFFF"/>
        <w:spacing w:after="0" w:line="240" w:lineRule="auto"/>
        <w:jc w:val="center"/>
        <w:rPr>
          <w:rFonts w:ascii="Arial" w:eastAsia="Arial" w:hAnsi="Arial" w:cs="Arial"/>
          <w:color w:val="222222"/>
          <w:sz w:val="24"/>
          <w:szCs w:val="24"/>
          <w:lang w:val="pl-PL"/>
        </w:rPr>
      </w:pPr>
      <w:r w:rsidRPr="00E53972">
        <w:rPr>
          <w:rFonts w:ascii="Arial" w:eastAsia="Arial" w:hAnsi="Arial" w:cs="Arial"/>
          <w:color w:val="222222"/>
          <w:sz w:val="24"/>
          <w:szCs w:val="24"/>
          <w:lang w:val="pl-PL"/>
        </w:rPr>
        <w:t>§2</w:t>
      </w:r>
    </w:p>
    <w:p w14:paraId="00000014" w14:textId="77777777" w:rsidR="00EA12D2" w:rsidRPr="00E53972" w:rsidRDefault="00EA12D2">
      <w:pPr>
        <w:shd w:val="clear" w:color="auto" w:fill="FFFFFF"/>
        <w:spacing w:after="0" w:line="240" w:lineRule="auto"/>
        <w:jc w:val="center"/>
        <w:rPr>
          <w:rFonts w:ascii="Arial" w:eastAsia="Arial" w:hAnsi="Arial" w:cs="Arial"/>
          <w:color w:val="222222"/>
          <w:sz w:val="24"/>
          <w:szCs w:val="24"/>
          <w:lang w:val="pl-PL"/>
        </w:rPr>
      </w:pPr>
    </w:p>
    <w:p w14:paraId="00000015" w14:textId="77777777" w:rsidR="00EA12D2" w:rsidRPr="00E53972" w:rsidRDefault="00E53972">
      <w:pPr>
        <w:spacing w:after="0" w:line="240" w:lineRule="auto"/>
        <w:ind w:firstLine="720"/>
        <w:jc w:val="both"/>
        <w:rPr>
          <w:rFonts w:ascii="Arial" w:eastAsia="Arial" w:hAnsi="Arial" w:cs="Arial"/>
          <w:b/>
          <w:i/>
          <w:sz w:val="24"/>
          <w:szCs w:val="24"/>
          <w:lang w:val="pl-PL"/>
        </w:rPr>
      </w:pPr>
      <w:sdt>
        <w:sdtPr>
          <w:tag w:val="goog_rdk_1"/>
          <w:id w:val="372812430"/>
        </w:sdtPr>
        <w:sdtEndPr/>
        <w:sdtContent/>
      </w:sdt>
      <w:r w:rsidR="004C1F40" w:rsidRPr="00E53972">
        <w:rPr>
          <w:rFonts w:ascii="Arial" w:eastAsia="Arial" w:hAnsi="Arial" w:cs="Arial"/>
          <w:sz w:val="24"/>
          <w:szCs w:val="24"/>
          <w:lang w:val="pl-PL"/>
        </w:rPr>
        <w:t>Rada Dydaktyczna zatwierdza tematy (tytuły) prac dyplomowych (licencjackich i magisterskich) do 31 marca roku akademickiego, w którym przypada ostatni semestr danego seminarium dyplomowego</w:t>
      </w:r>
      <w:bookmarkStart w:id="1" w:name="_GoBack"/>
      <w:bookmarkEnd w:id="1"/>
      <w:r w:rsidR="004C1F40" w:rsidRPr="00E53972">
        <w:rPr>
          <w:rFonts w:ascii="Arial" w:eastAsia="Arial" w:hAnsi="Arial" w:cs="Arial"/>
          <w:sz w:val="24"/>
          <w:szCs w:val="24"/>
          <w:lang w:val="pl-PL"/>
        </w:rPr>
        <w:t xml:space="preserve">. </w:t>
      </w:r>
    </w:p>
    <w:p w14:paraId="00000016" w14:textId="77777777" w:rsidR="00EA12D2" w:rsidRPr="00E53972" w:rsidRDefault="00EA12D2">
      <w:pPr>
        <w:shd w:val="clear" w:color="auto" w:fill="FFFFFF"/>
        <w:spacing w:after="0" w:line="240" w:lineRule="auto"/>
        <w:jc w:val="both"/>
        <w:rPr>
          <w:rFonts w:ascii="Arial" w:eastAsia="Arial" w:hAnsi="Arial" w:cs="Arial"/>
          <w:color w:val="222222"/>
          <w:sz w:val="24"/>
          <w:szCs w:val="24"/>
          <w:lang w:val="pl-PL"/>
        </w:rPr>
      </w:pPr>
    </w:p>
    <w:p w14:paraId="00000017" w14:textId="77777777" w:rsidR="00EA12D2" w:rsidRPr="00E53972" w:rsidRDefault="004C1F40">
      <w:pPr>
        <w:shd w:val="clear" w:color="auto" w:fill="FFFFFF"/>
        <w:spacing w:after="0" w:line="240" w:lineRule="auto"/>
        <w:jc w:val="center"/>
        <w:rPr>
          <w:rFonts w:ascii="Arial" w:eastAsia="Arial" w:hAnsi="Arial" w:cs="Arial"/>
          <w:sz w:val="24"/>
          <w:szCs w:val="24"/>
          <w:lang w:val="pl-PL"/>
        </w:rPr>
      </w:pPr>
      <w:r w:rsidRPr="00E53972">
        <w:rPr>
          <w:rFonts w:ascii="Arial" w:eastAsia="Arial" w:hAnsi="Arial" w:cs="Arial"/>
          <w:sz w:val="24"/>
          <w:szCs w:val="24"/>
          <w:lang w:val="pl-PL"/>
        </w:rPr>
        <w:t>§3</w:t>
      </w:r>
    </w:p>
    <w:p w14:paraId="00000018" w14:textId="77777777" w:rsidR="00EA12D2" w:rsidRPr="00E53972" w:rsidRDefault="00EA12D2">
      <w:pPr>
        <w:shd w:val="clear" w:color="auto" w:fill="FFFFFF"/>
        <w:spacing w:after="0" w:line="240" w:lineRule="auto"/>
        <w:jc w:val="center"/>
        <w:rPr>
          <w:rFonts w:ascii="Arial" w:eastAsia="Arial" w:hAnsi="Arial" w:cs="Arial"/>
          <w:sz w:val="24"/>
          <w:szCs w:val="24"/>
          <w:lang w:val="pl-PL"/>
        </w:rPr>
      </w:pPr>
    </w:p>
    <w:p w14:paraId="00000019" w14:textId="77777777" w:rsidR="00EA12D2" w:rsidRPr="00E53972" w:rsidRDefault="004C1F40">
      <w:pPr>
        <w:shd w:val="clear" w:color="auto" w:fill="FFFFFF"/>
        <w:spacing w:after="0" w:line="240" w:lineRule="auto"/>
        <w:ind w:firstLine="720"/>
        <w:jc w:val="both"/>
        <w:rPr>
          <w:rFonts w:ascii="Arial" w:eastAsia="Arial" w:hAnsi="Arial" w:cs="Arial"/>
          <w:sz w:val="24"/>
          <w:szCs w:val="24"/>
          <w:lang w:val="pl-PL"/>
        </w:rPr>
      </w:pPr>
      <w:r w:rsidRPr="00E53972">
        <w:rPr>
          <w:rFonts w:ascii="Arial" w:eastAsia="Arial" w:hAnsi="Arial" w:cs="Arial"/>
          <w:sz w:val="24"/>
          <w:szCs w:val="24"/>
          <w:lang w:val="pl-PL"/>
        </w:rPr>
        <w:t>W związku z licznymi i poważnymi opóźnieniami w zgłaszaniu tematów (tytułów) prac dyplomowych do Rady Dydaktycznej, Rada postanawia co następuje:</w:t>
      </w:r>
    </w:p>
    <w:p w14:paraId="0000001A"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t>1) tematy (tytuły) prac dyplomowych oraz zmiany zatwierdzonych tematów (tytułów) prac dyplomowych, które nie zostały zgłoszone do Rady do dnia przyjęcia niniejszej uchwały podlegają zgłoszeniu w trybie pilnym, nie później jednak niż do 30 maja danego roku akademickiego;</w:t>
      </w:r>
    </w:p>
    <w:p w14:paraId="0000001B"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t>2) tematy (tytuły) prac dyplomowych oraz zmiany zatwierdzonych tematów (tytułów) prac dyplomowych zgłoszone zgodnie z par. 3 pkt 1 zostaną rozpatrzone przez Radę do 15 czerwca danego roku akademickiego;</w:t>
      </w:r>
    </w:p>
    <w:p w14:paraId="0000001C"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t>3) tematy (tytuły) prac dyplomowych oraz zmiany zatwierdzonych tematów (tytułów) prac dyplomowych, które nie zostaną zgłoszone do Rady do 30 maja danego roku akademickiego, będą procedowane w terminach planowych posiedzeń Rady w czerwcu i we wrześniu danego roku akademickiego. Nie będą zatwierdzane oraz zmieniane zatwierdzone tematy (tytuły) prac dyplomowych przez Radę w procedurze obiegowej w lipcu, sierpniu oraz wrześniu danego roku akademickiego. W szczególnie uzasadnionych przypadkach decyzję o trybie i terminie procedowania zatwierdzania lub zmian zatwierdzonych tematów (tytułów) prac dyplomowych może podjąć Przewodnicząca/y Rady;</w:t>
      </w:r>
    </w:p>
    <w:p w14:paraId="0000001D" w14:textId="77777777" w:rsidR="00EA12D2" w:rsidRPr="00E53972" w:rsidRDefault="004C1F40">
      <w:pPr>
        <w:shd w:val="clear" w:color="auto" w:fill="FFFFFF"/>
        <w:spacing w:after="0" w:line="240" w:lineRule="auto"/>
        <w:jc w:val="both"/>
        <w:rPr>
          <w:rFonts w:ascii="Arial" w:eastAsia="Arial" w:hAnsi="Arial" w:cs="Arial"/>
          <w:sz w:val="24"/>
          <w:szCs w:val="24"/>
          <w:lang w:val="pl-PL"/>
        </w:rPr>
      </w:pPr>
      <w:r w:rsidRPr="00E53972">
        <w:rPr>
          <w:rFonts w:ascii="Arial" w:eastAsia="Arial" w:hAnsi="Arial" w:cs="Arial"/>
          <w:sz w:val="24"/>
          <w:szCs w:val="24"/>
          <w:lang w:val="pl-PL"/>
        </w:rPr>
        <w:t>4) prace dyplomowe, których tematy (tytuły) nie zostały zatwierdzone przez Radę nie mogą stać się podstawą przeprowadzenia egzaminu dyplomowego.</w:t>
      </w:r>
    </w:p>
    <w:p w14:paraId="0000001E" w14:textId="77777777" w:rsidR="00EA12D2" w:rsidRPr="00E53972" w:rsidRDefault="00EA12D2">
      <w:pPr>
        <w:shd w:val="clear" w:color="auto" w:fill="FFFFFF"/>
        <w:spacing w:after="0" w:line="240" w:lineRule="auto"/>
        <w:jc w:val="both"/>
        <w:rPr>
          <w:rFonts w:ascii="Arial" w:eastAsia="Arial" w:hAnsi="Arial" w:cs="Arial"/>
          <w:sz w:val="24"/>
          <w:szCs w:val="24"/>
          <w:lang w:val="pl-PL"/>
        </w:rPr>
      </w:pPr>
    </w:p>
    <w:p w14:paraId="0000001F" w14:textId="77777777" w:rsidR="00EA12D2" w:rsidRPr="00E53972" w:rsidRDefault="004C1F40">
      <w:pPr>
        <w:shd w:val="clear" w:color="auto" w:fill="FFFFFF"/>
        <w:spacing w:after="0" w:line="240" w:lineRule="auto"/>
        <w:jc w:val="center"/>
        <w:rPr>
          <w:rFonts w:ascii="Arial" w:eastAsia="Arial" w:hAnsi="Arial" w:cs="Arial"/>
          <w:sz w:val="24"/>
          <w:szCs w:val="24"/>
          <w:lang w:val="pl-PL"/>
        </w:rPr>
      </w:pPr>
      <w:r w:rsidRPr="00E53972">
        <w:rPr>
          <w:rFonts w:ascii="Arial" w:eastAsia="Arial" w:hAnsi="Arial" w:cs="Arial"/>
          <w:sz w:val="24"/>
          <w:szCs w:val="24"/>
          <w:lang w:val="pl-PL"/>
        </w:rPr>
        <w:t>§4</w:t>
      </w:r>
    </w:p>
    <w:p w14:paraId="00000020" w14:textId="77777777" w:rsidR="00EA12D2" w:rsidRPr="00E53972" w:rsidRDefault="00EA12D2">
      <w:pPr>
        <w:shd w:val="clear" w:color="auto" w:fill="FFFFFF"/>
        <w:spacing w:after="0" w:line="240" w:lineRule="auto"/>
        <w:jc w:val="center"/>
        <w:rPr>
          <w:rFonts w:ascii="Arial" w:eastAsia="Arial" w:hAnsi="Arial" w:cs="Arial"/>
          <w:sz w:val="24"/>
          <w:szCs w:val="24"/>
          <w:lang w:val="pl-PL"/>
        </w:rPr>
      </w:pPr>
    </w:p>
    <w:p w14:paraId="00000021" w14:textId="77777777" w:rsidR="00EA12D2" w:rsidRPr="00E53972" w:rsidRDefault="004C1F40">
      <w:pPr>
        <w:shd w:val="clear" w:color="auto" w:fill="FFFFFF"/>
        <w:spacing w:after="0" w:line="240" w:lineRule="auto"/>
        <w:ind w:firstLine="720"/>
        <w:jc w:val="both"/>
        <w:rPr>
          <w:rFonts w:ascii="Arial" w:eastAsia="Arial" w:hAnsi="Arial" w:cs="Arial"/>
          <w:sz w:val="24"/>
          <w:szCs w:val="24"/>
          <w:lang w:val="pl-PL"/>
        </w:rPr>
      </w:pPr>
      <w:r w:rsidRPr="00E53972">
        <w:rPr>
          <w:rFonts w:ascii="Arial" w:eastAsia="Arial" w:hAnsi="Arial" w:cs="Arial"/>
          <w:sz w:val="24"/>
          <w:szCs w:val="24"/>
          <w:lang w:val="pl-PL"/>
        </w:rPr>
        <w:t>Uchwała wchodzi w życie z dniem podjęcia.</w:t>
      </w:r>
    </w:p>
    <w:p w14:paraId="00000022" w14:textId="77777777" w:rsidR="00EA12D2" w:rsidRPr="00E53972" w:rsidRDefault="00EA12D2">
      <w:pPr>
        <w:spacing w:before="120" w:after="120" w:line="240" w:lineRule="auto"/>
        <w:jc w:val="both"/>
        <w:rPr>
          <w:rFonts w:ascii="Arial" w:eastAsia="Arial" w:hAnsi="Arial" w:cs="Arial"/>
          <w:b/>
          <w:sz w:val="24"/>
          <w:szCs w:val="24"/>
          <w:lang w:val="pl-PL"/>
        </w:rPr>
      </w:pPr>
    </w:p>
    <w:p w14:paraId="00000023" w14:textId="77777777" w:rsidR="00EA12D2" w:rsidRDefault="004C1F40">
      <w:pPr>
        <w:spacing w:before="120" w:after="120" w:line="240" w:lineRule="auto"/>
        <w:jc w:val="both"/>
        <w:rPr>
          <w:rFonts w:ascii="Arial" w:eastAsia="Arial" w:hAnsi="Arial" w:cs="Arial"/>
          <w:i/>
          <w:sz w:val="24"/>
          <w:szCs w:val="24"/>
        </w:rPr>
      </w:pPr>
      <w:r w:rsidRPr="00E53972">
        <w:rPr>
          <w:rFonts w:ascii="Arial" w:eastAsia="Arial" w:hAnsi="Arial" w:cs="Arial"/>
          <w:b/>
          <w:sz w:val="24"/>
          <w:szCs w:val="24"/>
          <w:lang w:val="pl-PL"/>
        </w:rPr>
        <w:tab/>
      </w:r>
      <w:r w:rsidRPr="00E53972">
        <w:rPr>
          <w:rFonts w:ascii="Arial" w:eastAsia="Arial" w:hAnsi="Arial" w:cs="Arial"/>
          <w:b/>
          <w:sz w:val="24"/>
          <w:szCs w:val="24"/>
          <w:lang w:val="pl-PL"/>
        </w:rPr>
        <w:tab/>
      </w:r>
      <w:r w:rsidRPr="00E53972">
        <w:rPr>
          <w:rFonts w:ascii="Arial" w:eastAsia="Arial" w:hAnsi="Arial" w:cs="Arial"/>
          <w:b/>
          <w:sz w:val="24"/>
          <w:szCs w:val="24"/>
          <w:lang w:val="pl-PL"/>
        </w:rPr>
        <w:tab/>
      </w:r>
      <w:r w:rsidRPr="00E53972">
        <w:rPr>
          <w:rFonts w:ascii="Arial" w:eastAsia="Arial" w:hAnsi="Arial" w:cs="Arial"/>
          <w:b/>
          <w:sz w:val="24"/>
          <w:szCs w:val="24"/>
          <w:lang w:val="pl-PL"/>
        </w:rPr>
        <w:tab/>
      </w:r>
      <w:r w:rsidRPr="00E53972">
        <w:rPr>
          <w:rFonts w:ascii="Arial" w:eastAsia="Arial" w:hAnsi="Arial" w:cs="Arial"/>
          <w:b/>
          <w:sz w:val="24"/>
          <w:szCs w:val="24"/>
          <w:lang w:val="pl-PL"/>
        </w:rPr>
        <w:tab/>
      </w:r>
      <w:r>
        <w:rPr>
          <w:rFonts w:ascii="Arial" w:eastAsia="Arial" w:hAnsi="Arial" w:cs="Arial"/>
          <w:sz w:val="24"/>
          <w:szCs w:val="24"/>
        </w:rPr>
        <w:t xml:space="preserve">Przewodnicząca Rady Dydaktycznej: </w:t>
      </w:r>
      <w:r>
        <w:rPr>
          <w:rFonts w:ascii="Arial" w:eastAsia="Arial" w:hAnsi="Arial" w:cs="Arial"/>
          <w:i/>
          <w:sz w:val="24"/>
          <w:szCs w:val="24"/>
        </w:rPr>
        <w:t>D. Heidrich</w:t>
      </w:r>
    </w:p>
    <w:sectPr w:rsidR="00EA12D2">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D2"/>
    <w:rsid w:val="004C1F40"/>
    <w:rsid w:val="00E53972"/>
    <w:rsid w:val="00EA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A54C"/>
  <w15:docId w15:val="{A7F6DBFD-37FF-4C02-9F55-91A28A0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EA69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69FD"/>
    <w:rPr>
      <w:rFonts w:ascii="Segoe UI" w:hAnsi="Segoe UI" w:cs="Segoe UI"/>
      <w:sz w:val="18"/>
      <w:szCs w:val="18"/>
    </w:r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character" w:styleId="Uwydatnienie">
    <w:name w:val="Emphasis"/>
    <w:basedOn w:val="Domylnaczcionkaakapitu"/>
    <w:uiPriority w:val="20"/>
    <w:qFormat/>
    <w:rsid w:val="00BC076A"/>
    <w:rPr>
      <w:i/>
      <w:iCs/>
    </w:r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customStyle="1" w:styleId="gmailsignatureprefix">
    <w:name w:val="gmail_signature_prefix"/>
    <w:basedOn w:val="Domylnaczcionkaakapitu"/>
    <w:rsid w:val="006F5480"/>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E53972"/>
    <w:rPr>
      <w:b/>
      <w:bCs/>
    </w:rPr>
  </w:style>
  <w:style w:type="character" w:customStyle="1" w:styleId="TematkomentarzaZnak">
    <w:name w:val="Temat komentarza Znak"/>
    <w:basedOn w:val="TekstkomentarzaZnak"/>
    <w:link w:val="Tematkomentarza"/>
    <w:uiPriority w:val="99"/>
    <w:semiHidden/>
    <w:rsid w:val="00E53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8USSNC3ecDmAyjlc9n0dyV+jQ==">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3</cp:revision>
  <dcterms:created xsi:type="dcterms:W3CDTF">2025-05-29T10:23:00Z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